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8B" w:rsidRDefault="008D43B3" w:rsidP="00C7708B">
      <w:r>
        <w:t xml:space="preserve"> </w:t>
      </w:r>
      <w:r w:rsidR="004436F7" w:rsidRPr="004436F7">
        <w:drawing>
          <wp:inline distT="0" distB="0" distL="0" distR="0" wp14:anchorId="64277EE3" wp14:editId="0BA63A26">
            <wp:extent cx="6858000" cy="3822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08B" w:rsidRDefault="00C7708B" w:rsidP="0030050C">
      <w:pPr>
        <w:jc w:val="center"/>
      </w:pPr>
    </w:p>
    <w:p w:rsidR="005D2A16" w:rsidRPr="004436F7" w:rsidRDefault="008D43B3" w:rsidP="00C7708B">
      <w:pPr>
        <w:jc w:val="center"/>
        <w:rPr>
          <w:rFonts w:ascii="Verdana" w:hAnsi="Verdana"/>
          <w:b/>
          <w:color w:val="A40084"/>
          <w:sz w:val="36"/>
        </w:rPr>
      </w:pPr>
      <w:r w:rsidRPr="004436F7">
        <w:rPr>
          <w:rFonts w:ascii="Verdana" w:hAnsi="Verdana"/>
          <w:b/>
          <w:color w:val="A40084"/>
          <w:sz w:val="52"/>
        </w:rPr>
        <w:t>Care of the Bone Marrow Transplant Patient Course</w:t>
      </w:r>
    </w:p>
    <w:p w:rsidR="005D2A16" w:rsidRPr="00B93FCE" w:rsidRDefault="008D43B3" w:rsidP="0030050C">
      <w:pPr>
        <w:jc w:val="center"/>
        <w:rPr>
          <w:rFonts w:ascii="Verdana" w:hAnsi="Verdana"/>
          <w:color w:val="000000" w:themeColor="text1"/>
          <w:sz w:val="6"/>
          <w:szCs w:val="12"/>
        </w:rPr>
      </w:pPr>
    </w:p>
    <w:p w:rsidR="005D2A16" w:rsidRDefault="008D43B3" w:rsidP="0030050C">
      <w:pPr>
        <w:jc w:val="center"/>
        <w:rPr>
          <w:rFonts w:ascii="Lucida Handwriting" w:hAnsi="Lucida Handwriting"/>
          <w:color w:val="000000" w:themeColor="text1"/>
          <w:sz w:val="16"/>
          <w:szCs w:val="12"/>
        </w:rPr>
      </w:pPr>
      <w:proofErr w:type="gramStart"/>
      <w:r w:rsidRPr="009838F7">
        <w:rPr>
          <w:rFonts w:ascii="Lucida Handwriting" w:hAnsi="Lucida Handwriting"/>
          <w:color w:val="000000" w:themeColor="text1"/>
          <w:sz w:val="16"/>
          <w:szCs w:val="12"/>
        </w:rPr>
        <w:t>presented</w:t>
      </w:r>
      <w:proofErr w:type="gramEnd"/>
      <w:r w:rsidRPr="009838F7">
        <w:rPr>
          <w:rFonts w:ascii="Lucida Handwriting" w:hAnsi="Lucida Handwriting"/>
          <w:color w:val="000000" w:themeColor="text1"/>
          <w:sz w:val="16"/>
          <w:szCs w:val="12"/>
        </w:rPr>
        <w:t xml:space="preserve"> by</w:t>
      </w:r>
    </w:p>
    <w:p w:rsidR="005D2A16" w:rsidRPr="00B93FCE" w:rsidRDefault="008D43B3" w:rsidP="0030050C">
      <w:pPr>
        <w:jc w:val="center"/>
        <w:rPr>
          <w:rFonts w:ascii="Lucida Handwriting" w:hAnsi="Lucida Handwriting"/>
          <w:color w:val="000000" w:themeColor="text1"/>
          <w:sz w:val="6"/>
          <w:szCs w:val="12"/>
        </w:rPr>
      </w:pPr>
    </w:p>
    <w:p w:rsidR="005D2A16" w:rsidRPr="009838F7" w:rsidRDefault="008D43B3" w:rsidP="0030050C">
      <w:pPr>
        <w:jc w:val="center"/>
        <w:rPr>
          <w:rFonts w:ascii="Verdana" w:hAnsi="Verdana"/>
          <w:color w:val="000000" w:themeColor="text1"/>
          <w:sz w:val="4"/>
          <w:szCs w:val="12"/>
        </w:rPr>
      </w:pPr>
    </w:p>
    <w:p w:rsidR="00C7708B" w:rsidRDefault="00C7708B" w:rsidP="0030050C">
      <w:pPr>
        <w:jc w:val="center"/>
        <w:rPr>
          <w:rFonts w:ascii="Verdana" w:hAnsi="Verdana"/>
          <w:b/>
          <w:noProof/>
          <w:color w:val="D2492A"/>
          <w:sz w:val="36"/>
        </w:rPr>
        <w:sectPr w:rsidR="00C7708B" w:rsidSect="0039016A">
          <w:footerReference w:type="default" r:id="rId9"/>
          <w:pgSz w:w="12240" w:h="15840"/>
          <w:pgMar w:top="720" w:right="720" w:bottom="720" w:left="720" w:header="720" w:footer="576" w:gutter="0"/>
          <w:cols w:space="720"/>
          <w:docGrid w:linePitch="326"/>
        </w:sectPr>
      </w:pPr>
    </w:p>
    <w:p w:rsidR="00C7708B" w:rsidRPr="004436F7" w:rsidRDefault="00C7708B" w:rsidP="0030050C">
      <w:pPr>
        <w:jc w:val="center"/>
        <w:rPr>
          <w:rFonts w:ascii="Verdana" w:hAnsi="Verdana"/>
          <w:b/>
          <w:color w:val="A40084"/>
          <w:sz w:val="36"/>
        </w:rPr>
      </w:pPr>
      <w:r w:rsidRPr="004436F7">
        <w:rPr>
          <w:rFonts w:ascii="Verdana" w:hAnsi="Verdana"/>
          <w:b/>
          <w:noProof/>
          <w:color w:val="A40084"/>
          <w:sz w:val="36"/>
        </w:rPr>
        <w:t>Sabra</w:t>
      </w:r>
      <w:r w:rsidR="008D43B3" w:rsidRPr="004436F7">
        <w:rPr>
          <w:rFonts w:ascii="Verdana" w:hAnsi="Verdana"/>
          <w:b/>
          <w:color w:val="A40084"/>
          <w:sz w:val="36"/>
        </w:rPr>
        <w:t xml:space="preserve"> Dunn, BSN</w:t>
      </w:r>
    </w:p>
    <w:p w:rsidR="00C7708B" w:rsidRPr="004436F7" w:rsidRDefault="008D43B3" w:rsidP="0030050C">
      <w:pPr>
        <w:jc w:val="center"/>
        <w:rPr>
          <w:rFonts w:ascii="Verdana" w:hAnsi="Verdana"/>
          <w:b/>
          <w:color w:val="A40084"/>
          <w:sz w:val="36"/>
        </w:rPr>
      </w:pPr>
      <w:r w:rsidRPr="004436F7">
        <w:rPr>
          <w:rFonts w:ascii="Verdana" w:hAnsi="Verdana"/>
          <w:b/>
          <w:color w:val="A40084"/>
          <w:sz w:val="36"/>
        </w:rPr>
        <w:t>Kristi Dubey, APRN</w:t>
      </w:r>
    </w:p>
    <w:p w:rsidR="00C7708B" w:rsidRPr="004436F7" w:rsidRDefault="008D43B3" w:rsidP="0030050C">
      <w:pPr>
        <w:jc w:val="center"/>
        <w:rPr>
          <w:rFonts w:ascii="Verdana" w:hAnsi="Verdana"/>
          <w:b/>
          <w:color w:val="A40084"/>
          <w:sz w:val="36"/>
        </w:rPr>
      </w:pPr>
      <w:r w:rsidRPr="004436F7">
        <w:rPr>
          <w:rFonts w:ascii="Verdana" w:hAnsi="Verdana"/>
          <w:b/>
          <w:color w:val="A40084"/>
          <w:sz w:val="36"/>
        </w:rPr>
        <w:t>Silvia Willumsen, RN</w:t>
      </w:r>
    </w:p>
    <w:p w:rsidR="00C7708B" w:rsidRPr="004436F7" w:rsidRDefault="008D43B3" w:rsidP="0030050C">
      <w:pPr>
        <w:jc w:val="center"/>
        <w:rPr>
          <w:rFonts w:ascii="Verdana" w:hAnsi="Verdana"/>
          <w:b/>
          <w:color w:val="A40084"/>
          <w:sz w:val="36"/>
        </w:rPr>
      </w:pPr>
      <w:r w:rsidRPr="004436F7">
        <w:rPr>
          <w:rFonts w:ascii="Verdana" w:hAnsi="Verdana"/>
          <w:b/>
          <w:color w:val="A40084"/>
          <w:sz w:val="36"/>
        </w:rPr>
        <w:t>Ashley George, RN</w:t>
      </w:r>
    </w:p>
    <w:p w:rsidR="00C7708B" w:rsidRPr="004436F7" w:rsidRDefault="00C7708B" w:rsidP="0030050C">
      <w:pPr>
        <w:jc w:val="center"/>
        <w:rPr>
          <w:rFonts w:ascii="Verdana" w:hAnsi="Verdana"/>
          <w:b/>
          <w:color w:val="A40084"/>
          <w:sz w:val="36"/>
        </w:rPr>
        <w:sectPr w:rsidR="00C7708B" w:rsidRPr="004436F7" w:rsidSect="00C7708B">
          <w:type w:val="continuous"/>
          <w:pgSz w:w="12240" w:h="15840"/>
          <w:pgMar w:top="720" w:right="720" w:bottom="720" w:left="720" w:header="720" w:footer="576" w:gutter="0"/>
          <w:cols w:num="2" w:space="720"/>
          <w:docGrid w:linePitch="326"/>
        </w:sectPr>
      </w:pPr>
    </w:p>
    <w:p w:rsidR="00E961FE" w:rsidRPr="004436F7" w:rsidRDefault="008D43B3" w:rsidP="0030050C">
      <w:pPr>
        <w:jc w:val="center"/>
        <w:rPr>
          <w:rFonts w:ascii="Verdana" w:hAnsi="Verdana"/>
          <w:b/>
          <w:color w:val="A40084"/>
          <w:sz w:val="36"/>
        </w:rPr>
      </w:pPr>
      <w:r w:rsidRPr="004436F7">
        <w:rPr>
          <w:rFonts w:ascii="Verdana" w:hAnsi="Verdana"/>
          <w:b/>
          <w:color w:val="A40084"/>
          <w:sz w:val="36"/>
        </w:rPr>
        <w:t>Brianna Lynes, MS</w:t>
      </w:r>
    </w:p>
    <w:p w:rsidR="005D2A16" w:rsidRDefault="008D43B3" w:rsidP="0030050C">
      <w:pPr>
        <w:jc w:val="center"/>
        <w:rPr>
          <w:rFonts w:ascii="Verdana" w:hAnsi="Verdana"/>
          <w:b/>
          <w:color w:val="D2492A"/>
          <w:sz w:val="36"/>
        </w:rPr>
      </w:pPr>
      <w:r>
        <w:rPr>
          <w:rFonts w:ascii="Verdana" w:hAnsi="Verdana"/>
          <w:i/>
          <w:color w:val="D2492A"/>
          <w:sz w:val="36"/>
        </w:rPr>
        <w:fldChar w:fldCharType="begin"/>
      </w:r>
      <w:r>
        <w:rPr>
          <w:rFonts w:ascii="Verdana" w:hAnsi="Verdana"/>
          <w:i/>
          <w:color w:val="D2492A"/>
          <w:sz w:val="36"/>
        </w:rPr>
        <w:instrText xml:space="preserve"> IF ""  = "" "</w:instrText>
      </w:r>
    </w:p>
    <w:p w:rsidR="005D2A16" w:rsidRPr="00C129C8" w:rsidRDefault="008D43B3" w:rsidP="0030050C">
      <w:pPr>
        <w:jc w:val="center"/>
        <w:rPr>
          <w:rFonts w:ascii="Verdana" w:hAnsi="Verdana"/>
          <w:i/>
          <w:color w:val="D2492A"/>
          <w:sz w:val="36"/>
        </w:rPr>
      </w:pPr>
      <w:r>
        <w:rPr>
          <w:rFonts w:ascii="Verdana" w:hAnsi="Verdana"/>
          <w:i/>
          <w:color w:val="D2492A"/>
          <w:sz w:val="36"/>
        </w:rPr>
        <w:instrText xml:space="preserve">" </w:instrText>
      </w:r>
      <w:r>
        <w:rPr>
          <w:rFonts w:ascii="Verdana" w:hAnsi="Verdana"/>
          <w:i/>
          <w:color w:val="D2492A"/>
          <w:sz w:val="36"/>
        </w:rPr>
        <w:fldChar w:fldCharType="separate"/>
      </w:r>
    </w:p>
    <w:p w:rsidR="005D2A16" w:rsidRPr="007D5704" w:rsidRDefault="008D43B3" w:rsidP="00C7708B">
      <w:pPr>
        <w:jc w:val="center"/>
        <w:rPr>
          <w:rFonts w:ascii="Verdana" w:hAnsi="Verdana"/>
          <w:b/>
          <w:sz w:val="32"/>
          <w:szCs w:val="19"/>
        </w:rPr>
      </w:pPr>
      <w:r>
        <w:rPr>
          <w:rFonts w:ascii="Verdana" w:hAnsi="Verdana"/>
          <w:i/>
          <w:color w:val="D2492A"/>
          <w:sz w:val="36"/>
        </w:rPr>
        <w:fldChar w:fldCharType="end"/>
      </w:r>
      <w:r>
        <w:rPr>
          <w:rFonts w:ascii="Verdana" w:hAnsi="Verdana"/>
          <w:b/>
          <w:noProof/>
          <w:sz w:val="32"/>
          <w:szCs w:val="19"/>
        </w:rPr>
        <w:t xml:space="preserve">Wednesday, </w:t>
      </w:r>
      <w:r>
        <w:rPr>
          <w:rFonts w:ascii="Verdana" w:hAnsi="Verdana"/>
          <w:b/>
          <w:sz w:val="32"/>
          <w:szCs w:val="19"/>
        </w:rPr>
        <w:t>June 21, 2023</w:t>
      </w:r>
    </w:p>
    <w:p w:rsidR="00E961FE" w:rsidRDefault="008D43B3" w:rsidP="0030050C">
      <w:pPr>
        <w:spacing w:line="276" w:lineRule="auto"/>
        <w:jc w:val="center"/>
        <w:rPr>
          <w:rFonts w:ascii="Verdana" w:hAnsi="Verdana"/>
          <w:b/>
          <w:sz w:val="32"/>
          <w:szCs w:val="19"/>
        </w:rPr>
      </w:pPr>
      <w:r>
        <w:rPr>
          <w:rFonts w:ascii="Verdana" w:hAnsi="Verdana"/>
          <w:b/>
          <w:noProof/>
          <w:sz w:val="32"/>
          <w:szCs w:val="19"/>
        </w:rPr>
        <w:t>8:00</w:t>
      </w:r>
      <w:r>
        <w:rPr>
          <w:rFonts w:ascii="Verdana" w:hAnsi="Verdana"/>
          <w:b/>
          <w:sz w:val="32"/>
          <w:szCs w:val="19"/>
        </w:rPr>
        <w:t xml:space="preserve"> AM</w:t>
      </w:r>
      <w:r w:rsidR="00C7708B">
        <w:rPr>
          <w:rFonts w:ascii="Verdana" w:hAnsi="Verdana"/>
          <w:b/>
          <w:sz w:val="32"/>
          <w:szCs w:val="19"/>
        </w:rPr>
        <w:t xml:space="preserve"> – 2:30 PM</w:t>
      </w:r>
    </w:p>
    <w:p w:rsidR="00C7708B" w:rsidRPr="00E961FE" w:rsidRDefault="008D43B3" w:rsidP="00C7708B">
      <w:pPr>
        <w:spacing w:line="276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</w:rPr>
        <w:t xml:space="preserve">ZOOM </w:t>
      </w:r>
      <w:r w:rsidR="00C7708B">
        <w:rPr>
          <w:rFonts w:ascii="Verdana" w:hAnsi="Verdana"/>
          <w:b/>
          <w:noProof/>
          <w:sz w:val="32"/>
          <w:szCs w:val="32"/>
        </w:rPr>
        <w:t xml:space="preserve">Link </w:t>
      </w:r>
      <w:r w:rsidR="005C544D">
        <w:rPr>
          <w:rFonts w:ascii="Verdana" w:hAnsi="Verdana"/>
          <w:b/>
          <w:noProof/>
          <w:sz w:val="32"/>
          <w:szCs w:val="32"/>
        </w:rPr>
        <w:t>TBD</w:t>
      </w:r>
    </w:p>
    <w:p w:rsidR="00C7708B" w:rsidRDefault="00C7708B" w:rsidP="00C7708B">
      <w:pPr>
        <w:spacing w:line="276" w:lineRule="auto"/>
        <w:rPr>
          <w:rFonts w:ascii="Verdana" w:hAnsi="Verdana"/>
          <w:b/>
          <w:sz w:val="22"/>
          <w:szCs w:val="32"/>
        </w:rPr>
      </w:pPr>
    </w:p>
    <w:p w:rsidR="00C7708B" w:rsidRPr="00C7708B" w:rsidRDefault="00C7708B" w:rsidP="00C7708B">
      <w:pPr>
        <w:spacing w:line="276" w:lineRule="auto"/>
        <w:rPr>
          <w:rFonts w:ascii="Verdana" w:hAnsi="Verdana"/>
          <w:sz w:val="22"/>
          <w:szCs w:val="32"/>
        </w:rPr>
      </w:pPr>
      <w:r w:rsidRPr="00C7708B">
        <w:rPr>
          <w:rFonts w:ascii="Verdana" w:hAnsi="Verdana"/>
          <w:b/>
          <w:sz w:val="22"/>
          <w:szCs w:val="32"/>
        </w:rPr>
        <w:t xml:space="preserve">Learning Objectives:  </w:t>
      </w:r>
      <w:proofErr w:type="gramStart"/>
      <w:r w:rsidRPr="00C7708B">
        <w:rPr>
          <w:rFonts w:ascii="Verdana" w:hAnsi="Verdana"/>
          <w:sz w:val="22"/>
          <w:szCs w:val="32"/>
        </w:rPr>
        <w:t>As a result</w:t>
      </w:r>
      <w:proofErr w:type="gramEnd"/>
      <w:r w:rsidRPr="00C7708B">
        <w:rPr>
          <w:rFonts w:ascii="Verdana" w:hAnsi="Verdana"/>
          <w:sz w:val="22"/>
          <w:szCs w:val="32"/>
        </w:rPr>
        <w:t xml:space="preserve"> of participating in this Live Activity, participants should be able to:</w:t>
      </w:r>
    </w:p>
    <w:p w:rsidR="00C7708B" w:rsidRPr="00C7708B" w:rsidRDefault="00C7708B" w:rsidP="00C7708B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/>
          <w:sz w:val="22"/>
          <w:szCs w:val="32"/>
        </w:rPr>
      </w:pPr>
      <w:r w:rsidRPr="00C7708B">
        <w:rPr>
          <w:rFonts w:ascii="Verdana" w:hAnsi="Verdana"/>
          <w:sz w:val="22"/>
          <w:szCs w:val="32"/>
        </w:rPr>
        <w:t>Identify the basic concepts of hematopoiesis and immunology.</w:t>
      </w:r>
    </w:p>
    <w:p w:rsidR="00C7708B" w:rsidRPr="00C7708B" w:rsidRDefault="00C7708B" w:rsidP="00C7708B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/>
          <w:sz w:val="22"/>
          <w:szCs w:val="32"/>
        </w:rPr>
      </w:pPr>
      <w:r w:rsidRPr="00C7708B">
        <w:rPr>
          <w:rFonts w:ascii="Verdana" w:hAnsi="Verdana"/>
          <w:sz w:val="22"/>
          <w:szCs w:val="32"/>
        </w:rPr>
        <w:t>Compare and contrast the different types of stem cells transplants.</w:t>
      </w:r>
    </w:p>
    <w:p w:rsidR="00C7708B" w:rsidRPr="00C7708B" w:rsidRDefault="00C7708B" w:rsidP="00C7708B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/>
          <w:sz w:val="22"/>
          <w:szCs w:val="32"/>
        </w:rPr>
      </w:pPr>
      <w:r w:rsidRPr="00C7708B">
        <w:rPr>
          <w:rFonts w:ascii="Verdana" w:hAnsi="Verdana"/>
          <w:sz w:val="22"/>
          <w:szCs w:val="32"/>
        </w:rPr>
        <w:t>Identify the process of a pre transplant workup and medical evaluation.</w:t>
      </w:r>
    </w:p>
    <w:p w:rsidR="00C7708B" w:rsidRPr="00C7708B" w:rsidRDefault="00C7708B" w:rsidP="00C7708B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/>
          <w:sz w:val="22"/>
          <w:szCs w:val="32"/>
        </w:rPr>
      </w:pPr>
      <w:r w:rsidRPr="00C7708B">
        <w:rPr>
          <w:rFonts w:ascii="Verdana" w:hAnsi="Verdana"/>
          <w:sz w:val="22"/>
          <w:szCs w:val="32"/>
        </w:rPr>
        <w:t>Identify early and late complications of a stem cell transplant.</w:t>
      </w:r>
    </w:p>
    <w:p w:rsidR="00C7708B" w:rsidRPr="00C7708B" w:rsidRDefault="00C7708B" w:rsidP="00C7708B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/>
          <w:sz w:val="22"/>
          <w:szCs w:val="32"/>
        </w:rPr>
      </w:pPr>
      <w:r w:rsidRPr="00C7708B">
        <w:rPr>
          <w:rFonts w:ascii="Verdana" w:hAnsi="Verdana"/>
          <w:sz w:val="22"/>
          <w:szCs w:val="32"/>
        </w:rPr>
        <w:t xml:space="preserve">Review nursing implications for patients in the pre, </w:t>
      </w:r>
      <w:proofErr w:type="spellStart"/>
      <w:r w:rsidRPr="00C7708B">
        <w:rPr>
          <w:rFonts w:ascii="Verdana" w:hAnsi="Verdana"/>
          <w:sz w:val="22"/>
          <w:szCs w:val="32"/>
        </w:rPr>
        <w:t>peri</w:t>
      </w:r>
      <w:proofErr w:type="spellEnd"/>
      <w:r w:rsidRPr="00C7708B">
        <w:rPr>
          <w:rFonts w:ascii="Verdana" w:hAnsi="Verdana"/>
          <w:sz w:val="22"/>
          <w:szCs w:val="32"/>
        </w:rPr>
        <w:t xml:space="preserve">, and </w:t>
      </w:r>
      <w:proofErr w:type="spellStart"/>
      <w:r w:rsidRPr="00C7708B">
        <w:rPr>
          <w:rFonts w:ascii="Verdana" w:hAnsi="Verdana"/>
          <w:sz w:val="22"/>
          <w:szCs w:val="32"/>
        </w:rPr>
        <w:t>post transplant</w:t>
      </w:r>
      <w:proofErr w:type="spellEnd"/>
      <w:r w:rsidRPr="00C7708B">
        <w:rPr>
          <w:rFonts w:ascii="Verdana" w:hAnsi="Verdana"/>
          <w:sz w:val="22"/>
          <w:szCs w:val="32"/>
        </w:rPr>
        <w:t xml:space="preserve"> periods.</w:t>
      </w:r>
    </w:p>
    <w:p w:rsidR="00C7708B" w:rsidRPr="00C7708B" w:rsidRDefault="00C7708B" w:rsidP="00C7708B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/>
          <w:sz w:val="22"/>
          <w:szCs w:val="32"/>
        </w:rPr>
      </w:pPr>
      <w:r w:rsidRPr="00C7708B">
        <w:rPr>
          <w:rFonts w:ascii="Verdana" w:hAnsi="Verdana"/>
          <w:sz w:val="22"/>
          <w:szCs w:val="32"/>
        </w:rPr>
        <w:t>Describe the revaccination process after a bone marrow transplant.</w:t>
      </w:r>
    </w:p>
    <w:p w:rsidR="005D2A16" w:rsidRPr="00C7708B" w:rsidRDefault="00C7708B" w:rsidP="00C7708B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/>
          <w:sz w:val="22"/>
          <w:szCs w:val="32"/>
        </w:rPr>
      </w:pPr>
      <w:r w:rsidRPr="00C7708B">
        <w:rPr>
          <w:rFonts w:ascii="Verdana" w:hAnsi="Verdana"/>
          <w:sz w:val="22"/>
          <w:szCs w:val="32"/>
        </w:rPr>
        <w:t>Discuss the concept of survivorship for bone marrow transplant patients.</w:t>
      </w:r>
    </w:p>
    <w:p w:rsidR="005D2A16" w:rsidRPr="009838F7" w:rsidRDefault="008D43B3" w:rsidP="0030050C">
      <w:pPr>
        <w:spacing w:line="276" w:lineRule="auto"/>
        <w:rPr>
          <w:rFonts w:ascii="Verdana" w:hAnsi="Verdana"/>
          <w:sz w:val="20"/>
          <w:szCs w:val="22"/>
          <w:vertAlign w:val="superscript"/>
        </w:rPr>
      </w:pPr>
    </w:p>
    <w:p w:rsidR="005D2A16" w:rsidRPr="00E961FE" w:rsidRDefault="008D43B3" w:rsidP="0030050C">
      <w:pPr>
        <w:ind w:right="-45"/>
        <w:rPr>
          <w:sz w:val="20"/>
          <w:szCs w:val="20"/>
        </w:rPr>
      </w:pPr>
    </w:p>
    <w:p w:rsidR="005D2A16" w:rsidRPr="00E961FE" w:rsidRDefault="008D43B3" w:rsidP="0030050C">
      <w:pPr>
        <w:ind w:right="-45"/>
        <w:rPr>
          <w:rFonts w:ascii="Verdana" w:eastAsia="Times New Roman" w:hAnsi="Verdana"/>
          <w:sz w:val="20"/>
          <w:szCs w:val="20"/>
        </w:rPr>
      </w:pPr>
      <w:r w:rsidRPr="00E961FE">
        <w:rPr>
          <w:rFonts w:ascii="Verdana" w:hAnsi="Verdana"/>
          <w:b/>
          <w:sz w:val="20"/>
          <w:szCs w:val="20"/>
        </w:rPr>
        <w:t>Accreditation</w:t>
      </w:r>
      <w:r w:rsidR="00C7708B">
        <w:rPr>
          <w:rFonts w:ascii="Verdana" w:hAnsi="Verdana"/>
          <w:b/>
          <w:sz w:val="20"/>
          <w:szCs w:val="20"/>
        </w:rPr>
        <w:t xml:space="preserve"> and </w:t>
      </w:r>
      <w:r w:rsidR="00C7708B" w:rsidRPr="00E961FE">
        <w:rPr>
          <w:rFonts w:ascii="Verdana" w:hAnsi="Verdana"/>
          <w:b/>
          <w:sz w:val="20"/>
          <w:szCs w:val="20"/>
        </w:rPr>
        <w:t>Credit Designation</w:t>
      </w:r>
      <w:r w:rsidRPr="00E961FE">
        <w:rPr>
          <w:rFonts w:ascii="Verdana" w:hAnsi="Verdana"/>
          <w:b/>
          <w:sz w:val="20"/>
          <w:szCs w:val="20"/>
        </w:rPr>
        <w:t xml:space="preserve"> Statement</w:t>
      </w:r>
      <w:r w:rsidR="00C7708B">
        <w:rPr>
          <w:rFonts w:ascii="Verdana" w:hAnsi="Verdana"/>
          <w:b/>
          <w:sz w:val="20"/>
          <w:szCs w:val="20"/>
        </w:rPr>
        <w:t>s</w:t>
      </w:r>
      <w:r w:rsidRPr="00E961FE">
        <w:rPr>
          <w:rFonts w:ascii="Verdana" w:hAnsi="Verdana"/>
          <w:b/>
          <w:sz w:val="20"/>
          <w:szCs w:val="20"/>
        </w:rPr>
        <w:t xml:space="preserve">:  </w:t>
      </w:r>
      <w:r w:rsidRPr="00E961FE">
        <w:rPr>
          <w:rFonts w:ascii="Verdana" w:eastAsia="Times New Roman" w:hAnsi="Verdana"/>
          <w:sz w:val="20"/>
          <w:szCs w:val="20"/>
        </w:rPr>
        <w:t xml:space="preserve">In support of improving patient care, Hartford HealthCare </w:t>
      </w:r>
      <w:proofErr w:type="gramStart"/>
      <w:r w:rsidRPr="00E961FE">
        <w:rPr>
          <w:rFonts w:ascii="Verdana" w:eastAsia="Times New Roman" w:hAnsi="Verdana"/>
          <w:sz w:val="20"/>
          <w:szCs w:val="20"/>
        </w:rPr>
        <w:t>is jointly accredited</w:t>
      </w:r>
      <w:proofErr w:type="gramEnd"/>
      <w:r w:rsidRPr="00E961FE">
        <w:rPr>
          <w:rFonts w:ascii="Verdana" w:eastAsia="Times New Roman" w:hAnsi="Verdana"/>
          <w:sz w:val="20"/>
          <w:szCs w:val="20"/>
        </w:rPr>
        <w:t xml:space="preserve"> by the Accreditation Council for Continuing Medical </w:t>
      </w:r>
      <w:r w:rsidRPr="00E961FE">
        <w:rPr>
          <w:rFonts w:ascii="Verdana" w:eastAsia="Times New Roman" w:hAnsi="Verdana"/>
          <w:sz w:val="20"/>
          <w:szCs w:val="20"/>
        </w:rPr>
        <w:t>Education (ACCME), the Accreditation Council for Pharmacy Education (ACPE), and the American Nur</w:t>
      </w:r>
      <w:r>
        <w:rPr>
          <w:rFonts w:ascii="Verdana" w:eastAsia="Times New Roman" w:hAnsi="Verdana"/>
          <w:sz w:val="20"/>
          <w:szCs w:val="20"/>
        </w:rPr>
        <w:t>ses Credentialing Center (ANCC)</w:t>
      </w:r>
      <w:r w:rsidRPr="00E961FE">
        <w:rPr>
          <w:rFonts w:ascii="Verdana" w:eastAsia="Times New Roman" w:hAnsi="Verdana"/>
          <w:sz w:val="20"/>
          <w:szCs w:val="20"/>
        </w:rPr>
        <w:t xml:space="preserve"> to provide continuing education for the healthcare team.</w:t>
      </w:r>
    </w:p>
    <w:p w:rsidR="00C7708B" w:rsidRPr="00C7708B" w:rsidRDefault="00C7708B" w:rsidP="00C7708B">
      <w:pPr>
        <w:pStyle w:val="ListParagraph"/>
        <w:numPr>
          <w:ilvl w:val="0"/>
          <w:numId w:val="2"/>
        </w:numPr>
        <w:ind w:right="-45"/>
        <w:rPr>
          <w:rFonts w:ascii="Verdana" w:hAnsi="Verdana"/>
          <w:bCs/>
          <w:sz w:val="20"/>
          <w:szCs w:val="20"/>
        </w:rPr>
      </w:pPr>
      <w:r w:rsidRPr="00C7708B">
        <w:rPr>
          <w:rFonts w:ascii="Verdana" w:hAnsi="Verdana"/>
          <w:b/>
          <w:sz w:val="20"/>
          <w:szCs w:val="20"/>
        </w:rPr>
        <w:t>Physicians</w:t>
      </w:r>
      <w:r w:rsidR="008D43B3" w:rsidRPr="00C7708B">
        <w:rPr>
          <w:rFonts w:ascii="Verdana" w:hAnsi="Verdana"/>
          <w:b/>
          <w:sz w:val="20"/>
          <w:szCs w:val="20"/>
        </w:rPr>
        <w:t xml:space="preserve">:  </w:t>
      </w:r>
      <w:r w:rsidR="008D43B3" w:rsidRPr="00C7708B">
        <w:rPr>
          <w:rFonts w:ascii="Verdana" w:hAnsi="Verdana"/>
          <w:bCs/>
          <w:sz w:val="20"/>
          <w:szCs w:val="20"/>
        </w:rPr>
        <w:fldChar w:fldCharType="begin"/>
      </w:r>
      <w:r w:rsidR="008D43B3" w:rsidRPr="00C7708B">
        <w:rPr>
          <w:rFonts w:ascii="Verdana" w:hAnsi="Verdana"/>
          <w:bCs/>
          <w:sz w:val="20"/>
          <w:szCs w:val="20"/>
        </w:rPr>
        <w:instrText xml:space="preserve"> IF </w:instrText>
      </w:r>
      <w:r w:rsidR="008D43B3" w:rsidRPr="00C7708B">
        <w:rPr>
          <w:rFonts w:ascii="Verdana" w:hAnsi="Verdana"/>
          <w:bCs/>
          <w:noProof/>
          <w:sz w:val="20"/>
          <w:szCs w:val="20"/>
        </w:rPr>
        <w:instrText>0.00</w:instrText>
      </w:r>
      <w:r w:rsidR="008D43B3" w:rsidRPr="00C7708B">
        <w:rPr>
          <w:rFonts w:ascii="Verdana" w:hAnsi="Verdana"/>
          <w:bCs/>
          <w:sz w:val="20"/>
          <w:szCs w:val="20"/>
        </w:rPr>
        <w:instrText xml:space="preserve"> &gt; 0 "This activity was planned</w:instrText>
      </w:r>
      <w:r w:rsidR="008D43B3" w:rsidRPr="00C7708B">
        <w:rPr>
          <w:rFonts w:ascii="Verdana" w:hAnsi="Verdana"/>
          <w:bCs/>
          <w:sz w:val="20"/>
          <w:szCs w:val="20"/>
        </w:rPr>
        <w:instrText xml:space="preserve"> by and for the healthcare team, and learners will receive </w:instrText>
      </w:r>
      <w:r w:rsidR="008D43B3" w:rsidRPr="00C7708B">
        <w:rPr>
          <w:rFonts w:ascii="Verdana" w:hAnsi="Verdana"/>
          <w:bCs/>
          <w:sz w:val="20"/>
          <w:szCs w:val="20"/>
        </w:rPr>
        <w:fldChar w:fldCharType="begin"/>
      </w:r>
      <w:r w:rsidR="008D43B3" w:rsidRPr="00C7708B">
        <w:rPr>
          <w:rFonts w:ascii="Verdana" w:hAnsi="Verdana"/>
          <w:bCs/>
          <w:sz w:val="20"/>
          <w:szCs w:val="20"/>
        </w:rPr>
        <w:instrText xml:space="preserve"> MERGEFIELD  IPCEHoursMax  \* MERGEFORMAT </w:instrText>
      </w:r>
      <w:r w:rsidR="008D43B3" w:rsidRPr="00C7708B">
        <w:rPr>
          <w:rFonts w:ascii="Verdana" w:hAnsi="Verdana"/>
          <w:bCs/>
          <w:sz w:val="20"/>
          <w:szCs w:val="20"/>
        </w:rPr>
        <w:fldChar w:fldCharType="separate"/>
      </w:r>
      <w:r w:rsidR="008D43B3" w:rsidRPr="00C7708B">
        <w:rPr>
          <w:rFonts w:ascii="Verdana" w:hAnsi="Verdana"/>
          <w:bCs/>
          <w:noProof/>
          <w:sz w:val="20"/>
          <w:szCs w:val="20"/>
        </w:rPr>
        <w:instrText>«IPCEHoursMax»</w:instrText>
      </w:r>
      <w:r w:rsidR="008D43B3" w:rsidRPr="00C7708B">
        <w:rPr>
          <w:rFonts w:ascii="Verdana" w:hAnsi="Verdana"/>
          <w:bCs/>
          <w:sz w:val="20"/>
          <w:szCs w:val="20"/>
        </w:rPr>
        <w:fldChar w:fldCharType="end"/>
      </w:r>
      <w:r w:rsidR="008D43B3" w:rsidRPr="00C7708B">
        <w:rPr>
          <w:rFonts w:ascii="Verdana" w:hAnsi="Verdana"/>
          <w:bCs/>
          <w:sz w:val="20"/>
          <w:szCs w:val="20"/>
        </w:rPr>
        <w:instrText xml:space="preserve"> Interprofessional Continuing Education(IPCE) credit for learning and change.  " "" </w:instrText>
      </w:r>
      <w:r w:rsidR="008D43B3" w:rsidRPr="00C7708B">
        <w:rPr>
          <w:rFonts w:ascii="Verdana" w:hAnsi="Verdana"/>
          <w:bCs/>
          <w:sz w:val="20"/>
          <w:szCs w:val="20"/>
        </w:rPr>
        <w:fldChar w:fldCharType="end"/>
      </w:r>
      <w:r w:rsidR="008D43B3" w:rsidRPr="00C7708B">
        <w:rPr>
          <w:rFonts w:ascii="Verdana" w:hAnsi="Verdana"/>
          <w:bCs/>
          <w:sz w:val="20"/>
          <w:szCs w:val="20"/>
        </w:rPr>
        <w:fldChar w:fldCharType="begin"/>
      </w:r>
      <w:r w:rsidR="008D43B3" w:rsidRPr="00C7708B">
        <w:rPr>
          <w:rFonts w:ascii="Verdana" w:hAnsi="Verdana"/>
          <w:bCs/>
          <w:sz w:val="20"/>
          <w:szCs w:val="20"/>
        </w:rPr>
        <w:instrText xml:space="preserve"> IF </w:instrText>
      </w:r>
      <w:r w:rsidR="008D43B3" w:rsidRPr="00C7708B">
        <w:rPr>
          <w:rFonts w:ascii="Verdana" w:hAnsi="Verdana"/>
          <w:bCs/>
          <w:noProof/>
          <w:sz w:val="20"/>
          <w:szCs w:val="20"/>
        </w:rPr>
        <w:instrText>5.75</w:instrText>
      </w:r>
      <w:r w:rsidR="008D43B3" w:rsidRPr="00C7708B">
        <w:rPr>
          <w:rFonts w:ascii="Verdana" w:hAnsi="Verdana"/>
          <w:bCs/>
          <w:sz w:val="20"/>
          <w:szCs w:val="20"/>
        </w:rPr>
        <w:instrText xml:space="preserve"> &gt; 0 "Hartford Healt</w:instrText>
      </w:r>
      <w:r w:rsidR="008D43B3" w:rsidRPr="00C7708B">
        <w:rPr>
          <w:rFonts w:ascii="Verdana" w:hAnsi="Verdana"/>
          <w:bCs/>
          <w:sz w:val="20"/>
          <w:szCs w:val="20"/>
        </w:rPr>
        <w:instrText>h</w:instrText>
      </w:r>
      <w:r w:rsidR="008D43B3" w:rsidRPr="00C7708B">
        <w:rPr>
          <w:rFonts w:ascii="Verdana" w:hAnsi="Verdana"/>
          <w:bCs/>
          <w:sz w:val="20"/>
          <w:szCs w:val="20"/>
        </w:rPr>
        <w:instrText xml:space="preserve">care designates this </w:instrText>
      </w:r>
      <w:r w:rsidR="008D43B3" w:rsidRPr="00C7708B">
        <w:rPr>
          <w:rFonts w:ascii="Verdana" w:hAnsi="Verdana"/>
          <w:bCs/>
          <w:noProof/>
          <w:sz w:val="20"/>
          <w:szCs w:val="20"/>
        </w:rPr>
        <w:instrText>Li</w:instrText>
      </w:r>
      <w:r w:rsidR="008D43B3" w:rsidRPr="00C7708B">
        <w:rPr>
          <w:rFonts w:ascii="Verdana" w:hAnsi="Verdana"/>
          <w:bCs/>
          <w:noProof/>
          <w:sz w:val="20"/>
          <w:szCs w:val="20"/>
        </w:rPr>
        <w:instrText>ve Activity</w:instrText>
      </w:r>
      <w:r w:rsidR="008D43B3" w:rsidRPr="00C7708B">
        <w:rPr>
          <w:rFonts w:ascii="Verdana" w:hAnsi="Verdana"/>
          <w:bCs/>
          <w:sz w:val="20"/>
          <w:szCs w:val="20"/>
        </w:rPr>
        <w:instrText xml:space="preserve"> for </w:instrText>
      </w:r>
      <w:r w:rsidR="008D43B3" w:rsidRPr="00C7708B">
        <w:rPr>
          <w:rFonts w:ascii="Verdana" w:hAnsi="Verdana"/>
          <w:bCs/>
          <w:noProof/>
          <w:sz w:val="20"/>
          <w:szCs w:val="20"/>
        </w:rPr>
        <w:instrText>5.75</w:instrText>
      </w:r>
      <w:r w:rsidR="008D43B3" w:rsidRPr="00C7708B">
        <w:rPr>
          <w:rFonts w:ascii="Verdana" w:hAnsi="Verdana"/>
          <w:bCs/>
          <w:sz w:val="20"/>
          <w:szCs w:val="20"/>
        </w:rPr>
        <w:instrText xml:space="preserve"> </w:instrText>
      </w:r>
      <w:r w:rsidR="008D43B3" w:rsidRPr="00C7708B">
        <w:rPr>
          <w:rFonts w:ascii="Verdana" w:hAnsi="Verdana"/>
          <w:bCs/>
          <w:i/>
          <w:iCs/>
          <w:sz w:val="20"/>
          <w:szCs w:val="20"/>
        </w:rPr>
        <w:instrText>AMA PRA Category 1 Credit(s)</w:instrText>
      </w:r>
      <w:r w:rsidR="008D43B3" w:rsidRPr="00C7708B">
        <w:rPr>
          <w:rFonts w:ascii="Verdana" w:hAnsi="Verdana"/>
          <w:bCs/>
          <w:i/>
          <w:iCs/>
          <w:sz w:val="20"/>
          <w:szCs w:val="20"/>
          <w:vertAlign w:val="superscript"/>
        </w:rPr>
        <w:instrText>TM</w:instrText>
      </w:r>
      <w:r w:rsidR="008D43B3" w:rsidRPr="00C7708B">
        <w:rPr>
          <w:rFonts w:ascii="Verdana" w:hAnsi="Verdana"/>
          <w:bCs/>
          <w:sz w:val="20"/>
          <w:szCs w:val="20"/>
        </w:rPr>
        <w:instrText xml:space="preserve">.  Physicians should only claim credit commensurate with their participation.  " "" </w:instrText>
      </w:r>
      <w:r w:rsidR="008D43B3" w:rsidRPr="00C7708B">
        <w:rPr>
          <w:rFonts w:ascii="Verdana" w:hAnsi="Verdana"/>
          <w:bCs/>
          <w:sz w:val="20"/>
          <w:szCs w:val="20"/>
        </w:rPr>
        <w:fldChar w:fldCharType="separate"/>
      </w:r>
      <w:r w:rsidR="008D43B3" w:rsidRPr="00C7708B">
        <w:rPr>
          <w:rFonts w:ascii="Verdana" w:hAnsi="Verdana"/>
          <w:bCs/>
          <w:sz w:val="20"/>
          <w:szCs w:val="20"/>
        </w:rPr>
        <w:t>Hartford Healt</w:t>
      </w:r>
      <w:r w:rsidR="008D43B3" w:rsidRPr="00C7708B">
        <w:rPr>
          <w:rFonts w:ascii="Verdana" w:hAnsi="Verdana"/>
          <w:bCs/>
          <w:sz w:val="20"/>
          <w:szCs w:val="20"/>
        </w:rPr>
        <w:t>h</w:t>
      </w:r>
      <w:r w:rsidR="008D43B3" w:rsidRPr="00C7708B">
        <w:rPr>
          <w:rFonts w:ascii="Verdana" w:hAnsi="Verdana"/>
          <w:bCs/>
          <w:sz w:val="20"/>
          <w:szCs w:val="20"/>
        </w:rPr>
        <w:t xml:space="preserve">care designates this </w:t>
      </w:r>
      <w:r w:rsidR="008D43B3" w:rsidRPr="00C7708B">
        <w:rPr>
          <w:rFonts w:ascii="Verdana" w:hAnsi="Verdana"/>
          <w:bCs/>
          <w:noProof/>
          <w:sz w:val="20"/>
          <w:szCs w:val="20"/>
        </w:rPr>
        <w:t>Live Activity</w:t>
      </w:r>
      <w:r w:rsidR="008D43B3" w:rsidRPr="00C7708B">
        <w:rPr>
          <w:rFonts w:ascii="Verdana" w:hAnsi="Verdana"/>
          <w:bCs/>
          <w:sz w:val="20"/>
          <w:szCs w:val="20"/>
        </w:rPr>
        <w:t xml:space="preserve"> for</w:t>
      </w:r>
      <w:r w:rsidR="008D43B3" w:rsidRPr="00C7708B">
        <w:rPr>
          <w:rFonts w:ascii="Verdana" w:hAnsi="Verdana"/>
          <w:b/>
          <w:bCs/>
          <w:color w:val="C00000"/>
          <w:sz w:val="20"/>
          <w:szCs w:val="20"/>
        </w:rPr>
        <w:t xml:space="preserve"> </w:t>
      </w:r>
      <w:r w:rsidR="008D43B3" w:rsidRPr="004436F7">
        <w:rPr>
          <w:rFonts w:ascii="Verdana" w:hAnsi="Verdana"/>
          <w:b/>
          <w:bCs/>
          <w:noProof/>
          <w:color w:val="A40084"/>
          <w:sz w:val="20"/>
          <w:szCs w:val="20"/>
        </w:rPr>
        <w:t>5.75</w:t>
      </w:r>
      <w:r w:rsidR="008D43B3" w:rsidRPr="00C7708B">
        <w:rPr>
          <w:rFonts w:ascii="Verdana" w:hAnsi="Verdana"/>
          <w:b/>
          <w:bCs/>
          <w:color w:val="C00000"/>
          <w:sz w:val="20"/>
          <w:szCs w:val="20"/>
        </w:rPr>
        <w:t xml:space="preserve"> </w:t>
      </w:r>
      <w:r w:rsidR="008D43B3" w:rsidRPr="00C7708B">
        <w:rPr>
          <w:rFonts w:ascii="Verdana" w:hAnsi="Verdana"/>
          <w:bCs/>
          <w:i/>
          <w:iCs/>
          <w:sz w:val="20"/>
          <w:szCs w:val="20"/>
        </w:rPr>
        <w:t>AMA PRA Category 1 Credit(s)</w:t>
      </w:r>
      <w:r w:rsidR="008D43B3" w:rsidRPr="00C7708B">
        <w:rPr>
          <w:rFonts w:ascii="Verdana" w:hAnsi="Verdana"/>
          <w:bCs/>
          <w:i/>
          <w:iCs/>
          <w:sz w:val="20"/>
          <w:szCs w:val="20"/>
          <w:vertAlign w:val="superscript"/>
        </w:rPr>
        <w:t>TM</w:t>
      </w:r>
      <w:r w:rsidR="008D43B3" w:rsidRPr="00C7708B">
        <w:rPr>
          <w:rFonts w:ascii="Verdana" w:hAnsi="Verdana"/>
          <w:bCs/>
          <w:sz w:val="20"/>
          <w:szCs w:val="20"/>
        </w:rPr>
        <w:t xml:space="preserve">.  Physicians should only claim credit commensurate with their participation.  </w:t>
      </w:r>
      <w:r w:rsidR="008D43B3" w:rsidRPr="00C7708B">
        <w:rPr>
          <w:rFonts w:ascii="Verdana" w:hAnsi="Verdana"/>
          <w:bCs/>
          <w:sz w:val="20"/>
          <w:szCs w:val="20"/>
        </w:rPr>
        <w:fldChar w:fldCharType="end"/>
      </w:r>
      <w:r w:rsidRPr="00C7708B">
        <w:rPr>
          <w:rFonts w:ascii="Verdana" w:hAnsi="Verdana"/>
          <w:b/>
          <w:noProof/>
          <w:color w:val="D2492A"/>
          <w:sz w:val="52"/>
        </w:rPr>
        <w:t xml:space="preserve"> </w:t>
      </w:r>
    </w:p>
    <w:p w:rsidR="005D2A16" w:rsidRPr="00C7708B" w:rsidRDefault="00C7708B" w:rsidP="00C7708B">
      <w:pPr>
        <w:pStyle w:val="ListParagraph"/>
        <w:numPr>
          <w:ilvl w:val="0"/>
          <w:numId w:val="2"/>
        </w:numPr>
        <w:ind w:right="-45"/>
        <w:rPr>
          <w:rFonts w:ascii="Verdana" w:hAnsi="Verdana"/>
          <w:bCs/>
          <w:sz w:val="20"/>
          <w:szCs w:val="20"/>
        </w:rPr>
      </w:pPr>
      <w:r w:rsidRPr="00C7708B">
        <w:rPr>
          <w:rFonts w:ascii="Verdana" w:hAnsi="Verdana"/>
          <w:b/>
          <w:bCs/>
          <w:sz w:val="20"/>
          <w:szCs w:val="20"/>
        </w:rPr>
        <w:t>Nurses:</w:t>
      </w:r>
      <w:r w:rsidRPr="00C7708B">
        <w:rPr>
          <w:rFonts w:ascii="Verdana" w:hAnsi="Verdana"/>
          <w:bCs/>
          <w:sz w:val="20"/>
          <w:szCs w:val="20"/>
        </w:rPr>
        <w:t xml:space="preserve"> </w:t>
      </w:r>
      <w:r w:rsidR="008D43B3" w:rsidRPr="00C7708B">
        <w:rPr>
          <w:rFonts w:ascii="Verdana" w:hAnsi="Verdana"/>
          <w:bCs/>
          <w:sz w:val="20"/>
          <w:szCs w:val="20"/>
        </w:rPr>
        <w:fldChar w:fldCharType="begin"/>
      </w:r>
      <w:r w:rsidR="008D43B3" w:rsidRPr="00C7708B">
        <w:rPr>
          <w:rFonts w:ascii="Verdana" w:hAnsi="Verdana"/>
          <w:bCs/>
          <w:sz w:val="20"/>
          <w:szCs w:val="20"/>
        </w:rPr>
        <w:instrText xml:space="preserve"> IF </w:instrText>
      </w:r>
      <w:r w:rsidR="008D43B3" w:rsidRPr="00C7708B">
        <w:rPr>
          <w:rFonts w:ascii="Verdana" w:hAnsi="Verdana"/>
          <w:bCs/>
          <w:noProof/>
          <w:sz w:val="20"/>
          <w:szCs w:val="20"/>
        </w:rPr>
        <w:instrText>5.75</w:instrText>
      </w:r>
      <w:r w:rsidR="008D43B3" w:rsidRPr="00C7708B">
        <w:rPr>
          <w:rFonts w:ascii="Verdana" w:hAnsi="Verdana"/>
          <w:bCs/>
          <w:sz w:val="20"/>
          <w:szCs w:val="20"/>
        </w:rPr>
        <w:instrText xml:space="preserve"> &gt; 0 "This activity is</w:instrText>
      </w:r>
      <w:r w:rsidR="008D43B3" w:rsidRPr="00C7708B">
        <w:rPr>
          <w:rFonts w:ascii="Verdana" w:hAnsi="Verdana"/>
          <w:bCs/>
          <w:sz w:val="20"/>
          <w:szCs w:val="20"/>
        </w:rPr>
        <w:instrText xml:space="preserve"> approved</w:instrText>
      </w:r>
      <w:r w:rsidR="008D43B3" w:rsidRPr="00C7708B">
        <w:rPr>
          <w:rFonts w:ascii="Verdana" w:hAnsi="Verdana"/>
          <w:bCs/>
          <w:sz w:val="20"/>
          <w:szCs w:val="20"/>
        </w:rPr>
        <w:instrText xml:space="preserve"> for </w:instrText>
      </w:r>
      <w:r w:rsidR="008D43B3" w:rsidRPr="00C7708B">
        <w:rPr>
          <w:rFonts w:ascii="Verdana" w:hAnsi="Verdana"/>
          <w:bCs/>
          <w:noProof/>
          <w:sz w:val="20"/>
          <w:szCs w:val="20"/>
        </w:rPr>
        <w:instrText>5.75</w:instrText>
      </w:r>
      <w:r w:rsidR="008D43B3" w:rsidRPr="00C7708B">
        <w:rPr>
          <w:rFonts w:ascii="Verdana" w:hAnsi="Verdana"/>
          <w:bCs/>
          <w:sz w:val="20"/>
          <w:szCs w:val="20"/>
        </w:rPr>
        <w:instrText xml:space="preserve"> ANCC contact hour(s).  " "" </w:instrText>
      </w:r>
      <w:r w:rsidR="008D43B3" w:rsidRPr="00C7708B">
        <w:rPr>
          <w:rFonts w:ascii="Verdana" w:hAnsi="Verdana"/>
          <w:bCs/>
          <w:sz w:val="20"/>
          <w:szCs w:val="20"/>
        </w:rPr>
        <w:fldChar w:fldCharType="separate"/>
      </w:r>
      <w:r w:rsidR="008D43B3" w:rsidRPr="00C7708B">
        <w:rPr>
          <w:rFonts w:ascii="Verdana" w:hAnsi="Verdana"/>
          <w:bCs/>
          <w:sz w:val="20"/>
          <w:szCs w:val="20"/>
        </w:rPr>
        <w:t xml:space="preserve">This activity </w:t>
      </w:r>
      <w:proofErr w:type="gramStart"/>
      <w:r w:rsidR="008D43B3" w:rsidRPr="00C7708B">
        <w:rPr>
          <w:rFonts w:ascii="Verdana" w:hAnsi="Verdana"/>
          <w:bCs/>
          <w:sz w:val="20"/>
          <w:szCs w:val="20"/>
        </w:rPr>
        <w:t>is</w:t>
      </w:r>
      <w:r w:rsidR="008D43B3" w:rsidRPr="00C7708B">
        <w:rPr>
          <w:rFonts w:ascii="Verdana" w:hAnsi="Verdana"/>
          <w:bCs/>
          <w:sz w:val="20"/>
          <w:szCs w:val="20"/>
        </w:rPr>
        <w:t xml:space="preserve"> approved</w:t>
      </w:r>
      <w:proofErr w:type="gramEnd"/>
      <w:r w:rsidR="008D43B3" w:rsidRPr="00C7708B">
        <w:rPr>
          <w:rFonts w:ascii="Verdana" w:hAnsi="Verdana"/>
          <w:bCs/>
          <w:sz w:val="20"/>
          <w:szCs w:val="20"/>
        </w:rPr>
        <w:t xml:space="preserve"> for </w:t>
      </w:r>
      <w:r w:rsidR="008D43B3" w:rsidRPr="004436F7">
        <w:rPr>
          <w:rFonts w:ascii="Verdana" w:hAnsi="Verdana"/>
          <w:b/>
          <w:bCs/>
          <w:noProof/>
          <w:color w:val="A40084"/>
          <w:sz w:val="20"/>
          <w:szCs w:val="20"/>
        </w:rPr>
        <w:t>5.75</w:t>
      </w:r>
      <w:r w:rsidR="008D43B3" w:rsidRPr="00C7708B">
        <w:rPr>
          <w:rFonts w:ascii="Verdana" w:hAnsi="Verdana"/>
          <w:bCs/>
          <w:sz w:val="20"/>
          <w:szCs w:val="20"/>
        </w:rPr>
        <w:t xml:space="preserve"> ANCC contact hour(s).  </w:t>
      </w:r>
      <w:r w:rsidR="008D43B3" w:rsidRPr="00C7708B">
        <w:rPr>
          <w:rFonts w:ascii="Verdana" w:hAnsi="Verdana"/>
          <w:bCs/>
          <w:sz w:val="20"/>
          <w:szCs w:val="20"/>
        </w:rPr>
        <w:fldChar w:fldCharType="end"/>
      </w:r>
      <w:r w:rsidR="008D43B3" w:rsidRPr="00C7708B">
        <w:rPr>
          <w:rFonts w:ascii="Verdana" w:hAnsi="Verdana"/>
          <w:bCs/>
          <w:sz w:val="20"/>
          <w:szCs w:val="20"/>
        </w:rPr>
        <w:fldChar w:fldCharType="begin"/>
      </w:r>
      <w:r w:rsidR="008D43B3" w:rsidRPr="00C7708B">
        <w:rPr>
          <w:rFonts w:ascii="Verdana" w:hAnsi="Verdana"/>
          <w:bCs/>
          <w:sz w:val="20"/>
          <w:szCs w:val="20"/>
        </w:rPr>
        <w:instrText xml:space="preserve"> IF </w:instrText>
      </w:r>
      <w:r w:rsidR="008D43B3" w:rsidRPr="00C7708B">
        <w:rPr>
          <w:rFonts w:ascii="Verdana" w:hAnsi="Verdana"/>
          <w:bCs/>
          <w:noProof/>
          <w:sz w:val="20"/>
          <w:szCs w:val="20"/>
        </w:rPr>
        <w:instrText>0.00</w:instrText>
      </w:r>
      <w:r w:rsidR="008D43B3" w:rsidRPr="00C7708B">
        <w:rPr>
          <w:rFonts w:ascii="Verdana" w:hAnsi="Verdana"/>
          <w:bCs/>
          <w:sz w:val="20"/>
          <w:szCs w:val="20"/>
        </w:rPr>
        <w:instrText xml:space="preserve"> &gt; 0 "This activity is appro</w:instrText>
      </w:r>
      <w:r w:rsidR="008D43B3" w:rsidRPr="00C7708B">
        <w:rPr>
          <w:rFonts w:ascii="Verdana" w:hAnsi="Verdana"/>
          <w:bCs/>
          <w:sz w:val="20"/>
          <w:szCs w:val="20"/>
        </w:rPr>
        <w:instrText xml:space="preserve">ved for </w:instrText>
      </w:r>
      <w:r w:rsidR="008D43B3" w:rsidRPr="00C7708B">
        <w:rPr>
          <w:rFonts w:ascii="Verdana" w:hAnsi="Verdana"/>
          <w:bCs/>
          <w:sz w:val="20"/>
          <w:szCs w:val="20"/>
        </w:rPr>
        <w:fldChar w:fldCharType="begin"/>
      </w:r>
      <w:r w:rsidR="008D43B3" w:rsidRPr="00C7708B">
        <w:rPr>
          <w:rFonts w:ascii="Verdana" w:hAnsi="Verdana"/>
          <w:bCs/>
          <w:sz w:val="20"/>
          <w:szCs w:val="20"/>
        </w:rPr>
        <w:instrText xml:space="preserve"> MERGEFIELD  ACPEHoursMax  \* MERGEFORMAT </w:instrText>
      </w:r>
      <w:r w:rsidR="008D43B3" w:rsidRPr="00C7708B">
        <w:rPr>
          <w:rFonts w:ascii="Verdana" w:hAnsi="Verdana"/>
          <w:bCs/>
          <w:sz w:val="20"/>
          <w:szCs w:val="20"/>
        </w:rPr>
        <w:fldChar w:fldCharType="separate"/>
      </w:r>
      <w:r w:rsidR="008D43B3" w:rsidRPr="00C7708B">
        <w:rPr>
          <w:rFonts w:ascii="Verdana" w:hAnsi="Verdana"/>
          <w:bCs/>
          <w:noProof/>
          <w:sz w:val="20"/>
          <w:szCs w:val="20"/>
        </w:rPr>
        <w:instrText>«ACPEHoursMax»</w:instrText>
      </w:r>
      <w:r w:rsidR="008D43B3" w:rsidRPr="00C7708B">
        <w:rPr>
          <w:rFonts w:ascii="Verdana" w:hAnsi="Verdana"/>
          <w:bCs/>
          <w:sz w:val="20"/>
          <w:szCs w:val="20"/>
        </w:rPr>
        <w:fldChar w:fldCharType="end"/>
      </w:r>
      <w:r w:rsidR="008D43B3" w:rsidRPr="00C7708B">
        <w:rPr>
          <w:rFonts w:ascii="Verdana" w:hAnsi="Verdana"/>
          <w:bCs/>
          <w:sz w:val="20"/>
          <w:szCs w:val="20"/>
        </w:rPr>
        <w:instrText xml:space="preserve"> ACPE contact hour(s)." "" </w:instrText>
      </w:r>
      <w:r w:rsidR="008D43B3" w:rsidRPr="00C7708B">
        <w:rPr>
          <w:rFonts w:ascii="Verdana" w:hAnsi="Verdana"/>
          <w:bCs/>
          <w:sz w:val="20"/>
          <w:szCs w:val="20"/>
        </w:rPr>
        <w:fldChar w:fldCharType="end"/>
      </w:r>
    </w:p>
    <w:p w:rsidR="00E961FE" w:rsidRPr="00E961FE" w:rsidRDefault="008D43B3" w:rsidP="00C7708B">
      <w:pPr>
        <w:tabs>
          <w:tab w:val="left" w:pos="1530"/>
          <w:tab w:val="left" w:pos="10058"/>
        </w:tabs>
        <w:ind w:left="720" w:right="-1278"/>
        <w:rPr>
          <w:sz w:val="16"/>
        </w:rPr>
      </w:pPr>
    </w:p>
    <w:p w:rsidR="00E961FE" w:rsidRPr="00C7708B" w:rsidRDefault="008D43B3" w:rsidP="00E961FE">
      <w:pPr>
        <w:spacing w:line="276" w:lineRule="auto"/>
        <w:rPr>
          <w:rFonts w:ascii="Verdana" w:hAnsi="Verdana"/>
          <w:color w:val="000000" w:themeColor="text1"/>
          <w:sz w:val="20"/>
          <w:szCs w:val="20"/>
        </w:rPr>
      </w:pPr>
      <w:r w:rsidRPr="00E961FE">
        <w:rPr>
          <w:rFonts w:ascii="Verdana" w:hAnsi="Verdana"/>
          <w:b/>
          <w:sz w:val="20"/>
          <w:szCs w:val="20"/>
        </w:rPr>
        <w:t>Financial Disclosure:</w:t>
      </w:r>
      <w:r w:rsidR="00C7708B">
        <w:rPr>
          <w:rFonts w:ascii="Verdana" w:hAnsi="Verdana"/>
          <w:b/>
          <w:sz w:val="20"/>
          <w:szCs w:val="20"/>
        </w:rPr>
        <w:t xml:space="preserve">  </w:t>
      </w:r>
      <w:r w:rsidR="00C7708B" w:rsidRPr="00C7708B">
        <w:rPr>
          <w:rFonts w:ascii="Verdana" w:hAnsi="Verdana"/>
          <w:sz w:val="20"/>
          <w:szCs w:val="20"/>
        </w:rPr>
        <w:t>None of the faculty or planners for this activity have reported any financial relationship with an ineligible company.</w:t>
      </w:r>
    </w:p>
    <w:p w:rsidR="005A6F92" w:rsidRDefault="008D43B3" w:rsidP="0030050C">
      <w:pPr>
        <w:tabs>
          <w:tab w:val="left" w:pos="1530"/>
          <w:tab w:val="left" w:pos="10058"/>
        </w:tabs>
        <w:ind w:right="-1278"/>
      </w:pPr>
      <w:bookmarkStart w:id="0" w:name="_GoBack"/>
      <w:r>
        <w:rPr>
          <w:rFonts w:ascii="Verdana" w:eastAsia="Times New Roman" w:hAnsi="Verdana"/>
          <w:b/>
          <w:noProof/>
          <w:sz w:val="16"/>
          <w:szCs w:val="14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196850</wp:posOffset>
            </wp:positionH>
            <wp:positionV relativeFrom="page">
              <wp:posOffset>8253730</wp:posOffset>
            </wp:positionV>
            <wp:extent cx="1456055" cy="998855"/>
            <wp:effectExtent l="0" t="0" r="0" b="0"/>
            <wp:wrapNone/>
            <wp:docPr id="6" name="Picture 6" descr="C:\Users\dgartley\AppData\Local\Microsoft\Windows\INetCache\Content.Word\Jointly_Accredited_Provider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gartley\AppData\Local\Microsoft\Windows\INetCache\Content.Word\Jointly_Accredited_Provider_P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C7708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2019300" cy="1447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08B" w:rsidRDefault="00C7708B">
                            <w:r>
                              <w:rPr>
                                <w:rFonts w:ascii="Verdana" w:hAnsi="Verdana"/>
                                <w:b/>
                                <w:noProof/>
                                <w:color w:val="D2492A"/>
                                <w:sz w:val="52"/>
                                <w:lang w:eastAsia="en-US"/>
                              </w:rPr>
                              <w:drawing>
                                <wp:inline distT="0" distB="0" distL="0" distR="0" wp14:anchorId="75EF244E" wp14:editId="7250CA75">
                                  <wp:extent cx="1836651" cy="10858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HC-Cancer-Institute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3329" cy="11016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8pt;margin-top:2.7pt;width:159pt;height:11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" stroked="f">
                <v:textbox>
                  <w:txbxContent>
                    <w:p w:rsidR="00C7708B" w:rsidRDefault="00C7708B">
                      <w:r>
                        <w:rPr>
                          <w:rFonts w:ascii="Verdana" w:hAnsi="Verdana"/>
                          <w:b/>
                          <w:noProof/>
                          <w:color w:val="D2492A"/>
                          <w:sz w:val="52"/>
                          <w:lang w:eastAsia="en-US"/>
                        </w:rPr>
                        <w:drawing>
                          <wp:inline distT="0" distB="0" distL="0" distR="0" wp14:anchorId="75EF244E" wp14:editId="7250CA75">
                            <wp:extent cx="1836651" cy="10858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HC-Cancer-Institute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3329" cy="11016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A6F92" w:rsidSect="00C7708B">
      <w:type w:val="continuous"/>
      <w:pgSz w:w="12240" w:h="15840"/>
      <w:pgMar w:top="72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D43B3">
      <w:r>
        <w:separator/>
      </w:r>
    </w:p>
  </w:endnote>
  <w:endnote w:type="continuationSeparator" w:id="0">
    <w:p w:rsidR="00000000" w:rsidRDefault="008D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21" w:rsidRDefault="008D43B3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4966335</wp:posOffset>
          </wp:positionH>
          <wp:positionV relativeFrom="paragraph">
            <wp:posOffset>-766445</wp:posOffset>
          </wp:positionV>
          <wp:extent cx="1823844" cy="775889"/>
          <wp:effectExtent l="0" t="0" r="5080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HC_4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844" cy="775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D43B3">
      <w:r>
        <w:separator/>
      </w:r>
    </w:p>
  </w:footnote>
  <w:footnote w:type="continuationSeparator" w:id="0">
    <w:p w:rsidR="00000000" w:rsidRDefault="008D4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89B"/>
    <w:multiLevelType w:val="hybridMultilevel"/>
    <w:tmpl w:val="642C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847D0"/>
    <w:multiLevelType w:val="hybridMultilevel"/>
    <w:tmpl w:val="89C0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B4AA7"/>
    <w:multiLevelType w:val="hybridMultilevel"/>
    <w:tmpl w:val="3F028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609E6"/>
    <w:multiLevelType w:val="hybridMultilevel"/>
    <w:tmpl w:val="C262B4C0"/>
    <w:lvl w:ilvl="0" w:tplc="6804E6B8">
      <w:start w:val="1"/>
      <w:numFmt w:val="decimal"/>
      <w:lvlText w:val="%1."/>
      <w:lvlJc w:val="left"/>
      <w:pPr>
        <w:ind w:left="990" w:hanging="360"/>
      </w:pPr>
    </w:lvl>
    <w:lvl w:ilvl="1" w:tplc="C4269A26" w:tentative="1">
      <w:start w:val="1"/>
      <w:numFmt w:val="lowerLetter"/>
      <w:lvlText w:val="%2."/>
      <w:lvlJc w:val="left"/>
      <w:pPr>
        <w:ind w:left="1440" w:hanging="360"/>
      </w:pPr>
    </w:lvl>
    <w:lvl w:ilvl="2" w:tplc="481025D6" w:tentative="1">
      <w:start w:val="1"/>
      <w:numFmt w:val="lowerRoman"/>
      <w:lvlText w:val="%3."/>
      <w:lvlJc w:val="right"/>
      <w:pPr>
        <w:ind w:left="2160" w:hanging="180"/>
      </w:pPr>
    </w:lvl>
    <w:lvl w:ilvl="3" w:tplc="05A4C1CC" w:tentative="1">
      <w:start w:val="1"/>
      <w:numFmt w:val="decimal"/>
      <w:lvlText w:val="%4."/>
      <w:lvlJc w:val="left"/>
      <w:pPr>
        <w:ind w:left="2880" w:hanging="360"/>
      </w:pPr>
    </w:lvl>
    <w:lvl w:ilvl="4" w:tplc="37982E1A" w:tentative="1">
      <w:start w:val="1"/>
      <w:numFmt w:val="lowerLetter"/>
      <w:lvlText w:val="%5."/>
      <w:lvlJc w:val="left"/>
      <w:pPr>
        <w:ind w:left="3600" w:hanging="360"/>
      </w:pPr>
    </w:lvl>
    <w:lvl w:ilvl="5" w:tplc="F7B0BAC0" w:tentative="1">
      <w:start w:val="1"/>
      <w:numFmt w:val="lowerRoman"/>
      <w:lvlText w:val="%6."/>
      <w:lvlJc w:val="right"/>
      <w:pPr>
        <w:ind w:left="4320" w:hanging="180"/>
      </w:pPr>
    </w:lvl>
    <w:lvl w:ilvl="6" w:tplc="FB36098A" w:tentative="1">
      <w:start w:val="1"/>
      <w:numFmt w:val="decimal"/>
      <w:lvlText w:val="%7."/>
      <w:lvlJc w:val="left"/>
      <w:pPr>
        <w:ind w:left="5040" w:hanging="360"/>
      </w:pPr>
    </w:lvl>
    <w:lvl w:ilvl="7" w:tplc="7314239E" w:tentative="1">
      <w:start w:val="1"/>
      <w:numFmt w:val="lowerLetter"/>
      <w:lvlText w:val="%8."/>
      <w:lvlJc w:val="left"/>
      <w:pPr>
        <w:ind w:left="5760" w:hanging="360"/>
      </w:pPr>
    </w:lvl>
    <w:lvl w:ilvl="8" w:tplc="F094FF5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12"/>
    <w:rsid w:val="004436F7"/>
    <w:rsid w:val="005C544D"/>
    <w:rsid w:val="008D43B3"/>
    <w:rsid w:val="00C7708B"/>
    <w:rsid w:val="00FB05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B1E6FAA-487C-4F71-A66F-D775724A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F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7C2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6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96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964"/>
    <w:rPr>
      <w:sz w:val="24"/>
      <w:szCs w:val="24"/>
    </w:rPr>
  </w:style>
  <w:style w:type="character" w:styleId="Hyperlink">
    <w:name w:val="Hyperlink"/>
    <w:uiPriority w:val="99"/>
    <w:unhideWhenUsed/>
    <w:rsid w:val="007D57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5704"/>
    <w:pPr>
      <w:ind w:left="720"/>
      <w:contextualSpacing/>
    </w:pPr>
    <w:rPr>
      <w:rFonts w:ascii="Cambria" w:eastAsia="MS Mincho" w:hAnsi="Cambria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323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0A057D-124B-4209-8FC0-53158397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Gartley, Deborah</cp:lastModifiedBy>
  <cp:revision>7</cp:revision>
  <cp:lastPrinted>2020-08-05T18:15:00Z</cp:lastPrinted>
  <dcterms:created xsi:type="dcterms:W3CDTF">2020-10-23T14:11:00Z</dcterms:created>
  <dcterms:modified xsi:type="dcterms:W3CDTF">2023-04-21T14:54:00Z</dcterms:modified>
</cp:coreProperties>
</file>