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5F" w:rsidRPr="0070695F" w:rsidRDefault="0070695F" w:rsidP="0030050C">
      <w:pPr>
        <w:jc w:val="center"/>
        <w:rPr>
          <w:sz w:val="36"/>
        </w:rPr>
      </w:pPr>
      <w:r w:rsidRPr="0070695F">
        <w:rPr>
          <w:sz w:val="36"/>
        </w:rPr>
        <w:t xml:space="preserve"> In celebration of National Stroke Month</w:t>
      </w:r>
      <w:r w:rsidR="009E0618" w:rsidRPr="0070695F">
        <w:rPr>
          <w:sz w:val="36"/>
        </w:rPr>
        <w:t xml:space="preserve"> </w:t>
      </w:r>
    </w:p>
    <w:p w:rsidR="0070695F" w:rsidRDefault="0070695F" w:rsidP="0030050C">
      <w:pPr>
        <w:jc w:val="center"/>
      </w:pPr>
    </w:p>
    <w:p w:rsidR="0070695F" w:rsidRPr="009E0618" w:rsidRDefault="009E0618" w:rsidP="0030050C">
      <w:pPr>
        <w:jc w:val="center"/>
        <w:rPr>
          <w:rFonts w:ascii="Verdana" w:hAnsi="Verdana"/>
          <w:b/>
          <w:i/>
          <w:color w:val="D2492A"/>
          <w:sz w:val="72"/>
        </w:rPr>
      </w:pPr>
      <w:r w:rsidRPr="009E0618">
        <w:rPr>
          <w:rFonts w:ascii="Verdana" w:hAnsi="Verdana"/>
          <w:b/>
          <w:i/>
          <w:noProof/>
          <w:color w:val="D2492A"/>
          <w:sz w:val="72"/>
        </w:rPr>
        <w:t>Hope for</w:t>
      </w:r>
      <w:r w:rsidRPr="009E0618">
        <w:rPr>
          <w:rFonts w:ascii="Verdana" w:hAnsi="Verdana"/>
          <w:b/>
          <w:i/>
          <w:color w:val="D2492A"/>
          <w:sz w:val="72"/>
        </w:rPr>
        <w:t xml:space="preserve"> Stroke</w:t>
      </w:r>
    </w:p>
    <w:p w:rsidR="005D2A16" w:rsidRPr="009E0618" w:rsidRDefault="009E0618" w:rsidP="0030050C">
      <w:pPr>
        <w:jc w:val="center"/>
        <w:rPr>
          <w:rFonts w:ascii="Verdana" w:hAnsi="Verdana"/>
          <w:i/>
          <w:color w:val="D2492A"/>
          <w:sz w:val="44"/>
        </w:rPr>
      </w:pPr>
      <w:r w:rsidRPr="009E0618">
        <w:rPr>
          <w:rFonts w:ascii="Verdana" w:hAnsi="Verdana"/>
          <w:i/>
          <w:color w:val="D2492A"/>
          <w:sz w:val="72"/>
        </w:rPr>
        <w:t>A Survivor's Story</w:t>
      </w:r>
    </w:p>
    <w:p w:rsidR="005D2A16" w:rsidRPr="00B93FCE" w:rsidRDefault="009E0618" w:rsidP="0030050C">
      <w:pPr>
        <w:jc w:val="center"/>
        <w:rPr>
          <w:rFonts w:ascii="Verdana" w:hAnsi="Verdana"/>
          <w:color w:val="000000" w:themeColor="text1"/>
          <w:sz w:val="6"/>
          <w:szCs w:val="12"/>
        </w:rPr>
      </w:pPr>
    </w:p>
    <w:p w:rsidR="005D2A16" w:rsidRDefault="009E0618" w:rsidP="0030050C">
      <w:pPr>
        <w:jc w:val="center"/>
        <w:rPr>
          <w:rFonts w:ascii="Lucida Handwriting" w:hAnsi="Lucida Handwriting"/>
          <w:color w:val="000000" w:themeColor="text1"/>
          <w:sz w:val="16"/>
          <w:szCs w:val="12"/>
        </w:rPr>
      </w:pPr>
      <w:proofErr w:type="gramStart"/>
      <w:r w:rsidRPr="009838F7">
        <w:rPr>
          <w:rFonts w:ascii="Lucida Handwriting" w:hAnsi="Lucida Handwriting"/>
          <w:color w:val="000000" w:themeColor="text1"/>
          <w:sz w:val="16"/>
          <w:szCs w:val="12"/>
        </w:rPr>
        <w:t>presented</w:t>
      </w:r>
      <w:proofErr w:type="gramEnd"/>
      <w:r w:rsidRPr="009838F7">
        <w:rPr>
          <w:rFonts w:ascii="Lucida Handwriting" w:hAnsi="Lucida Handwriting"/>
          <w:color w:val="000000" w:themeColor="text1"/>
          <w:sz w:val="16"/>
          <w:szCs w:val="12"/>
        </w:rPr>
        <w:t xml:space="preserve"> by</w:t>
      </w:r>
    </w:p>
    <w:p w:rsidR="005D2A16" w:rsidRPr="00B93FCE" w:rsidRDefault="009E0618" w:rsidP="0030050C">
      <w:pPr>
        <w:jc w:val="center"/>
        <w:rPr>
          <w:rFonts w:ascii="Lucida Handwriting" w:hAnsi="Lucida Handwriting"/>
          <w:color w:val="000000" w:themeColor="text1"/>
          <w:sz w:val="6"/>
          <w:szCs w:val="12"/>
        </w:rPr>
      </w:pPr>
    </w:p>
    <w:p w:rsidR="005D2A16" w:rsidRPr="009838F7" w:rsidRDefault="009E0618" w:rsidP="0030050C">
      <w:pPr>
        <w:jc w:val="center"/>
        <w:rPr>
          <w:rFonts w:ascii="Verdana" w:hAnsi="Verdana"/>
          <w:color w:val="000000" w:themeColor="text1"/>
          <w:sz w:val="4"/>
          <w:szCs w:val="12"/>
        </w:rPr>
      </w:pPr>
    </w:p>
    <w:p w:rsidR="00E961FE" w:rsidRPr="009E0618" w:rsidRDefault="009E0618" w:rsidP="0030050C">
      <w:pPr>
        <w:jc w:val="center"/>
        <w:rPr>
          <w:rFonts w:ascii="Verdana" w:hAnsi="Verdana"/>
          <w:b/>
          <w:color w:val="D2492A"/>
          <w:sz w:val="48"/>
        </w:rPr>
      </w:pPr>
      <w:bookmarkStart w:id="0" w:name="_GoBack"/>
      <w:r w:rsidRPr="009E0618">
        <w:rPr>
          <w:rFonts w:ascii="Verdana" w:hAnsi="Verdana"/>
          <w:b/>
          <w:noProof/>
          <w:color w:val="D2492A"/>
          <w:sz w:val="48"/>
        </w:rPr>
        <w:t>Claire Keating</w:t>
      </w:r>
      <w:r w:rsidRPr="009E0618">
        <w:rPr>
          <w:rFonts w:ascii="Verdana" w:hAnsi="Verdana"/>
          <w:b/>
          <w:color w:val="D2492A"/>
          <w:sz w:val="48"/>
        </w:rPr>
        <w:t>, RN</w:t>
      </w:r>
    </w:p>
    <w:p w:rsidR="00853B07" w:rsidRPr="009E0618" w:rsidRDefault="00853B07" w:rsidP="0030050C">
      <w:pPr>
        <w:jc w:val="center"/>
        <w:rPr>
          <w:rFonts w:ascii="Verdana" w:hAnsi="Verdana"/>
          <w:color w:val="D2492A"/>
          <w:sz w:val="48"/>
        </w:rPr>
      </w:pPr>
      <w:r w:rsidRPr="009E0618">
        <w:rPr>
          <w:rFonts w:ascii="Verdana" w:hAnsi="Verdana"/>
          <w:color w:val="D2492A"/>
          <w:sz w:val="48"/>
        </w:rPr>
        <w:t>Stroke Survivor, Author</w:t>
      </w:r>
    </w:p>
    <w:bookmarkEnd w:id="0"/>
    <w:p w:rsidR="00011B9B" w:rsidRDefault="00011B9B" w:rsidP="0030050C">
      <w:pPr>
        <w:jc w:val="center"/>
        <w:rPr>
          <w:rFonts w:ascii="Verdana" w:hAnsi="Verdana"/>
          <w:i/>
          <w:color w:val="D2492A"/>
          <w:sz w:val="36"/>
        </w:rPr>
      </w:pPr>
    </w:p>
    <w:p w:rsidR="005D2A16" w:rsidRPr="007D5704" w:rsidRDefault="009E0618" w:rsidP="0030050C">
      <w:pPr>
        <w:spacing w:line="276" w:lineRule="auto"/>
        <w:jc w:val="center"/>
        <w:rPr>
          <w:rFonts w:ascii="Verdana" w:hAnsi="Verdana"/>
          <w:b/>
          <w:sz w:val="32"/>
          <w:szCs w:val="19"/>
        </w:rPr>
      </w:pPr>
      <w:r>
        <w:rPr>
          <w:rFonts w:ascii="Verdana" w:hAnsi="Verdana"/>
          <w:b/>
          <w:noProof/>
          <w:sz w:val="32"/>
          <w:szCs w:val="19"/>
        </w:rPr>
        <w:t xml:space="preserve">Wednesday, </w:t>
      </w:r>
      <w:r>
        <w:rPr>
          <w:rFonts w:ascii="Verdana" w:hAnsi="Verdana"/>
          <w:b/>
          <w:sz w:val="32"/>
          <w:szCs w:val="19"/>
        </w:rPr>
        <w:t>May 17, 2023</w:t>
      </w:r>
    </w:p>
    <w:p w:rsidR="00E961FE" w:rsidRDefault="009E0618" w:rsidP="0030050C">
      <w:pPr>
        <w:spacing w:line="276" w:lineRule="auto"/>
        <w:jc w:val="center"/>
        <w:rPr>
          <w:rFonts w:ascii="Verdana" w:hAnsi="Verdana"/>
          <w:b/>
          <w:sz w:val="32"/>
          <w:szCs w:val="19"/>
        </w:rPr>
      </w:pPr>
      <w:r>
        <w:rPr>
          <w:rFonts w:ascii="Verdana" w:hAnsi="Verdana"/>
          <w:b/>
          <w:noProof/>
          <w:sz w:val="32"/>
          <w:szCs w:val="19"/>
        </w:rPr>
        <w:t>2:00</w:t>
      </w:r>
      <w:r>
        <w:rPr>
          <w:rFonts w:ascii="Verdana" w:hAnsi="Verdana"/>
          <w:b/>
          <w:sz w:val="32"/>
          <w:szCs w:val="19"/>
        </w:rPr>
        <w:t xml:space="preserve"> PM</w:t>
      </w:r>
      <w:r w:rsidR="00853B07">
        <w:rPr>
          <w:rFonts w:ascii="Verdana" w:hAnsi="Verdana"/>
          <w:b/>
          <w:sz w:val="32"/>
          <w:szCs w:val="19"/>
        </w:rPr>
        <w:t xml:space="preserve"> – 3:00 PM</w:t>
      </w:r>
    </w:p>
    <w:p w:rsidR="005D2A16" w:rsidRPr="00E961FE" w:rsidRDefault="009E0618" w:rsidP="0030050C">
      <w:pPr>
        <w:spacing w:line="276" w:lineRule="auto"/>
        <w:jc w:val="center"/>
        <w:rPr>
          <w:rFonts w:ascii="Verdana" w:hAnsi="Verdana"/>
          <w:b/>
          <w:sz w:val="32"/>
          <w:szCs w:val="32"/>
        </w:rPr>
      </w:pPr>
      <w:r>
        <w:rPr>
          <w:rFonts w:ascii="Verdana" w:hAnsi="Verdana"/>
          <w:b/>
          <w:noProof/>
          <w:sz w:val="32"/>
          <w:szCs w:val="32"/>
        </w:rPr>
        <w:t>St Vincent's</w:t>
      </w:r>
      <w:r w:rsidR="00853B07">
        <w:rPr>
          <w:rFonts w:ascii="Verdana" w:hAnsi="Verdana"/>
          <w:b/>
          <w:noProof/>
          <w:sz w:val="32"/>
          <w:szCs w:val="32"/>
        </w:rPr>
        <w:t xml:space="preserve"> Medical Center, Room </w:t>
      </w:r>
      <w:r w:rsidR="0070695F">
        <w:rPr>
          <w:rFonts w:ascii="Verdana" w:hAnsi="Verdana"/>
          <w:b/>
          <w:noProof/>
          <w:sz w:val="32"/>
          <w:szCs w:val="32"/>
        </w:rPr>
        <w:t>TBD</w:t>
      </w:r>
      <w:r w:rsidRPr="00E961FE">
        <w:rPr>
          <w:rFonts w:ascii="Verdana" w:hAnsi="Verdana"/>
          <w:b/>
          <w:sz w:val="32"/>
          <w:szCs w:val="32"/>
        </w:rPr>
        <w:fldChar w:fldCharType="begin"/>
      </w:r>
      <w:r w:rsidRPr="00E961FE">
        <w:rPr>
          <w:rFonts w:ascii="Verdana" w:hAnsi="Verdana"/>
          <w:b/>
          <w:sz w:val="32"/>
          <w:szCs w:val="32"/>
        </w:rPr>
        <w:instrText xml:space="preserve"> IF </w:instrText>
      </w:r>
      <w:r>
        <w:rPr>
          <w:rFonts w:ascii="Verdana" w:hAnsi="Verdana"/>
          <w:b/>
          <w:noProof/>
          <w:sz w:val="32"/>
          <w:szCs w:val="32"/>
        </w:rPr>
        <w:instrText>"St Vincent's"</w:instrText>
      </w:r>
      <w:r w:rsidRPr="00E961FE">
        <w:rPr>
          <w:rFonts w:ascii="Verdana" w:hAnsi="Verdana"/>
          <w:b/>
          <w:sz w:val="32"/>
          <w:szCs w:val="32"/>
        </w:rPr>
        <w:instrText xml:space="preserve"> = "" "" "</w:instrText>
      </w:r>
    </w:p>
    <w:p w:rsidR="00447C78" w:rsidRPr="00E961FE" w:rsidRDefault="009E0618" w:rsidP="0030050C">
      <w:pPr>
        <w:spacing w:line="276" w:lineRule="auto"/>
        <w:jc w:val="center"/>
        <w:rPr>
          <w:rFonts w:ascii="Verdana" w:hAnsi="Verdana"/>
          <w:b/>
          <w:noProof/>
          <w:sz w:val="32"/>
          <w:szCs w:val="32"/>
        </w:rPr>
      </w:pPr>
      <w:r>
        <w:rPr>
          <w:rFonts w:ascii="Verdana" w:hAnsi="Verdana"/>
          <w:b/>
          <w:noProof/>
          <w:sz w:val="32"/>
          <w:szCs w:val="32"/>
        </w:rPr>
        <w:instrText>St Vincent's</w:instrText>
      </w:r>
      <w:r w:rsidRPr="00E961FE">
        <w:rPr>
          <w:rFonts w:ascii="Verdana" w:hAnsi="Verdana"/>
          <w:b/>
          <w:sz w:val="32"/>
          <w:szCs w:val="32"/>
        </w:rPr>
        <w:instrText xml:space="preserve">" </w:instrText>
      </w:r>
      <w:r w:rsidRPr="00E961FE">
        <w:rPr>
          <w:rFonts w:ascii="Verdana" w:hAnsi="Verdana"/>
          <w:b/>
          <w:sz w:val="32"/>
          <w:szCs w:val="32"/>
        </w:rPr>
        <w:fldChar w:fldCharType="separate"/>
      </w:r>
    </w:p>
    <w:p w:rsidR="005D2A16" w:rsidRDefault="009E0618" w:rsidP="00853B07">
      <w:pPr>
        <w:spacing w:line="276" w:lineRule="auto"/>
        <w:jc w:val="center"/>
        <w:rPr>
          <w:rFonts w:ascii="Verdana" w:hAnsi="Verdana"/>
          <w:b/>
          <w:sz w:val="32"/>
          <w:szCs w:val="32"/>
        </w:rPr>
      </w:pPr>
      <w:r w:rsidRPr="00E961FE">
        <w:rPr>
          <w:rFonts w:ascii="Verdana" w:hAnsi="Verdana"/>
          <w:b/>
          <w:sz w:val="32"/>
          <w:szCs w:val="32"/>
        </w:rPr>
        <w:fldChar w:fldCharType="end"/>
      </w:r>
      <w:r w:rsidR="00853B07">
        <w:rPr>
          <w:rFonts w:ascii="Verdana" w:hAnsi="Verdana"/>
          <w:b/>
          <w:sz w:val="32"/>
          <w:szCs w:val="32"/>
        </w:rPr>
        <w:t xml:space="preserve">Zoom Link </w:t>
      </w:r>
      <w:r w:rsidR="0070695F">
        <w:rPr>
          <w:rFonts w:ascii="Verdana" w:hAnsi="Verdana"/>
          <w:b/>
          <w:sz w:val="32"/>
          <w:szCs w:val="32"/>
        </w:rPr>
        <w:t>Pending</w:t>
      </w:r>
    </w:p>
    <w:p w:rsidR="00853B07" w:rsidRDefault="00853B07" w:rsidP="00853B07">
      <w:pPr>
        <w:rPr>
          <w:rFonts w:ascii="Verdana" w:hAnsi="Verdana"/>
          <w:b/>
          <w:szCs w:val="26"/>
        </w:rPr>
      </w:pPr>
    </w:p>
    <w:p w:rsidR="00853B07" w:rsidRDefault="00853B07" w:rsidP="00853B07">
      <w:pPr>
        <w:rPr>
          <w:rFonts w:ascii="Verdana" w:hAnsi="Verdana"/>
          <w:i/>
          <w:szCs w:val="26"/>
        </w:rPr>
      </w:pPr>
      <w:r w:rsidRPr="009838F7">
        <w:rPr>
          <w:rFonts w:ascii="Verdana" w:hAnsi="Verdana"/>
          <w:b/>
          <w:szCs w:val="26"/>
        </w:rPr>
        <w:t>Learning Objectives:</w:t>
      </w:r>
      <w:r w:rsidRPr="009838F7">
        <w:rPr>
          <w:rFonts w:ascii="Verdana" w:hAnsi="Verdana"/>
          <w:szCs w:val="26"/>
        </w:rPr>
        <w:t xml:space="preserve">  </w:t>
      </w:r>
      <w:proofErr w:type="gramStart"/>
      <w:r w:rsidRPr="009838F7">
        <w:rPr>
          <w:rFonts w:ascii="Verdana" w:hAnsi="Verdana"/>
          <w:i/>
          <w:szCs w:val="26"/>
        </w:rPr>
        <w:t>As a result</w:t>
      </w:r>
      <w:proofErr w:type="gramEnd"/>
      <w:r w:rsidRPr="009838F7">
        <w:rPr>
          <w:rFonts w:ascii="Verdana" w:hAnsi="Verdana"/>
          <w:i/>
          <w:szCs w:val="26"/>
        </w:rPr>
        <w:t xml:space="preserve"> of participating in this </w:t>
      </w:r>
      <w:r>
        <w:rPr>
          <w:rFonts w:ascii="Verdana" w:hAnsi="Verdana"/>
          <w:i/>
          <w:noProof/>
          <w:szCs w:val="26"/>
        </w:rPr>
        <w:t>Live Activity</w:t>
      </w:r>
      <w:r w:rsidRPr="009838F7">
        <w:rPr>
          <w:rFonts w:ascii="Verdana" w:hAnsi="Verdana"/>
          <w:i/>
          <w:szCs w:val="26"/>
        </w:rPr>
        <w:t>, participants should be able to:</w:t>
      </w:r>
    </w:p>
    <w:p w:rsidR="00853B07" w:rsidRPr="00853B07" w:rsidRDefault="00853B07" w:rsidP="00853B07">
      <w:pPr>
        <w:pStyle w:val="ListParagraph"/>
        <w:numPr>
          <w:ilvl w:val="0"/>
          <w:numId w:val="2"/>
        </w:numPr>
        <w:rPr>
          <w:rFonts w:ascii="Verdana" w:hAnsi="Verdana"/>
          <w:i/>
          <w:szCs w:val="26"/>
        </w:rPr>
      </w:pPr>
      <w:r w:rsidRPr="00853B07">
        <w:rPr>
          <w:rFonts w:ascii="Verdana" w:hAnsi="Verdana"/>
          <w:i/>
          <w:noProof/>
          <w:szCs w:val="26"/>
        </w:rPr>
        <w:t>review</w:t>
      </w:r>
      <w:r w:rsidRPr="00853B07">
        <w:rPr>
          <w:rFonts w:ascii="Verdana" w:hAnsi="Verdana"/>
          <w:i/>
          <w:szCs w:val="26"/>
        </w:rPr>
        <w:t xml:space="preserve"> the journey of a stroke survivor</w:t>
      </w:r>
    </w:p>
    <w:p w:rsidR="00853B07" w:rsidRPr="00853B07" w:rsidRDefault="00853B07" w:rsidP="00853B07">
      <w:pPr>
        <w:pStyle w:val="ListParagraph"/>
        <w:numPr>
          <w:ilvl w:val="0"/>
          <w:numId w:val="2"/>
        </w:numPr>
        <w:rPr>
          <w:rFonts w:ascii="Verdana" w:hAnsi="Verdana"/>
          <w:i/>
          <w:szCs w:val="26"/>
        </w:rPr>
      </w:pPr>
      <w:r w:rsidRPr="00853B07">
        <w:rPr>
          <w:rFonts w:ascii="Verdana" w:hAnsi="Verdana"/>
          <w:i/>
          <w:szCs w:val="26"/>
        </w:rPr>
        <w:t>identify areas to improve the stroke patient experience</w:t>
      </w:r>
    </w:p>
    <w:p w:rsidR="00853B07" w:rsidRPr="00853B07" w:rsidRDefault="00853B07" w:rsidP="00853B07">
      <w:pPr>
        <w:pStyle w:val="ListParagraph"/>
        <w:numPr>
          <w:ilvl w:val="0"/>
          <w:numId w:val="2"/>
        </w:numPr>
        <w:rPr>
          <w:rFonts w:ascii="Verdana" w:hAnsi="Verdana"/>
          <w:i/>
          <w:szCs w:val="26"/>
        </w:rPr>
      </w:pPr>
      <w:r w:rsidRPr="00853B07">
        <w:rPr>
          <w:rFonts w:ascii="Verdana" w:hAnsi="Verdana"/>
          <w:i/>
          <w:szCs w:val="26"/>
        </w:rPr>
        <w:t xml:space="preserve">discuss opportunities to support the needs of a stroke patient and their family during and after an acute stroke </w:t>
      </w:r>
    </w:p>
    <w:p w:rsidR="00853B07" w:rsidRPr="009838F7" w:rsidRDefault="00853B07" w:rsidP="00853B07">
      <w:pPr>
        <w:spacing w:line="276" w:lineRule="auto"/>
        <w:rPr>
          <w:rFonts w:ascii="Verdana" w:hAnsi="Verdana"/>
          <w:sz w:val="20"/>
          <w:szCs w:val="22"/>
          <w:vertAlign w:val="superscript"/>
        </w:rPr>
      </w:pPr>
    </w:p>
    <w:p w:rsidR="00853B07" w:rsidRPr="00853B07" w:rsidRDefault="009E0618" w:rsidP="0030050C">
      <w:pPr>
        <w:ind w:right="-45"/>
        <w:rPr>
          <w:rFonts w:ascii="Verdana" w:hAnsi="Verdana"/>
          <w:b/>
          <w:sz w:val="16"/>
          <w:szCs w:val="20"/>
        </w:rPr>
      </w:pPr>
      <w:r w:rsidRPr="00853B07">
        <w:rPr>
          <w:rFonts w:ascii="Verdana" w:hAnsi="Verdana"/>
          <w:b/>
          <w:sz w:val="16"/>
          <w:szCs w:val="20"/>
        </w:rPr>
        <w:t xml:space="preserve">Accreditation </w:t>
      </w:r>
      <w:r w:rsidR="00853B07" w:rsidRPr="00853B07">
        <w:rPr>
          <w:rFonts w:ascii="Verdana" w:hAnsi="Verdana"/>
          <w:b/>
          <w:sz w:val="16"/>
          <w:szCs w:val="20"/>
        </w:rPr>
        <w:t xml:space="preserve">&amp; </w:t>
      </w:r>
      <w:r w:rsidR="00853B07" w:rsidRPr="00853B07">
        <w:rPr>
          <w:rFonts w:ascii="Verdana" w:hAnsi="Verdana"/>
          <w:b/>
          <w:sz w:val="16"/>
          <w:szCs w:val="20"/>
        </w:rPr>
        <w:t>Credit Designation Statements</w:t>
      </w:r>
      <w:r w:rsidRPr="00853B07">
        <w:rPr>
          <w:rFonts w:ascii="Verdana" w:hAnsi="Verdana"/>
          <w:b/>
          <w:sz w:val="16"/>
          <w:szCs w:val="20"/>
        </w:rPr>
        <w:t xml:space="preserve">:  </w:t>
      </w:r>
      <w:r w:rsidRPr="00853B07">
        <w:rPr>
          <w:rFonts w:ascii="Verdana" w:eastAsia="Times New Roman" w:hAnsi="Verdana"/>
          <w:sz w:val="16"/>
          <w:szCs w:val="20"/>
        </w:rPr>
        <w:t xml:space="preserve">In support of improving patient care, Hartford HealthCare </w:t>
      </w:r>
      <w:proofErr w:type="gramStart"/>
      <w:r w:rsidRPr="00853B07">
        <w:rPr>
          <w:rFonts w:ascii="Verdana" w:eastAsia="Times New Roman" w:hAnsi="Verdana"/>
          <w:sz w:val="16"/>
          <w:szCs w:val="20"/>
        </w:rPr>
        <w:t>is jointly accredited</w:t>
      </w:r>
      <w:proofErr w:type="gramEnd"/>
      <w:r w:rsidRPr="00853B07">
        <w:rPr>
          <w:rFonts w:ascii="Verdana" w:eastAsia="Times New Roman" w:hAnsi="Verdana"/>
          <w:sz w:val="16"/>
          <w:szCs w:val="20"/>
        </w:rPr>
        <w:t xml:space="preserve"> by the Accreditation Council for Continuing Medical Education (ACCME), the Accreditation Council for Pha</w:t>
      </w:r>
      <w:r w:rsidRPr="00853B07">
        <w:rPr>
          <w:rFonts w:ascii="Verdana" w:eastAsia="Times New Roman" w:hAnsi="Verdana"/>
          <w:sz w:val="16"/>
          <w:szCs w:val="20"/>
        </w:rPr>
        <w:t>rmacy Education (ACPE), and the American Nur</w:t>
      </w:r>
      <w:r w:rsidRPr="00853B07">
        <w:rPr>
          <w:rFonts w:ascii="Verdana" w:eastAsia="Times New Roman" w:hAnsi="Verdana"/>
          <w:sz w:val="16"/>
          <w:szCs w:val="20"/>
        </w:rPr>
        <w:t>ses Credentialing Center (ANCC)</w:t>
      </w:r>
      <w:r w:rsidRPr="00853B07">
        <w:rPr>
          <w:rFonts w:ascii="Verdana" w:eastAsia="Times New Roman" w:hAnsi="Verdana"/>
          <w:sz w:val="16"/>
          <w:szCs w:val="20"/>
        </w:rPr>
        <w:t xml:space="preserve"> to provide continuing education for the healthcare team.</w:t>
      </w:r>
      <w:r w:rsidRPr="00853B07">
        <w:rPr>
          <w:rFonts w:ascii="Verdana" w:hAnsi="Verdana"/>
          <w:b/>
          <w:sz w:val="16"/>
          <w:szCs w:val="20"/>
        </w:rPr>
        <w:t xml:space="preserve">  </w:t>
      </w:r>
    </w:p>
    <w:p w:rsidR="00853B07" w:rsidRPr="00853B07" w:rsidRDefault="00853B07" w:rsidP="00853B07">
      <w:pPr>
        <w:numPr>
          <w:ilvl w:val="0"/>
          <w:numId w:val="3"/>
        </w:numPr>
        <w:ind w:right="-45"/>
        <w:rPr>
          <w:rFonts w:ascii="Verdana" w:hAnsi="Verdana"/>
          <w:bCs/>
          <w:sz w:val="16"/>
          <w:szCs w:val="20"/>
        </w:rPr>
      </w:pPr>
      <w:r w:rsidRPr="00853B07">
        <w:rPr>
          <w:rFonts w:ascii="Verdana" w:hAnsi="Verdana"/>
          <w:b/>
          <w:bCs/>
          <w:sz w:val="16"/>
          <w:szCs w:val="20"/>
        </w:rPr>
        <w:t>Physicians: </w:t>
      </w:r>
      <w:r w:rsidRPr="00853B07">
        <w:rPr>
          <w:rFonts w:ascii="Verdana" w:hAnsi="Verdana"/>
          <w:bCs/>
          <w:sz w:val="16"/>
          <w:szCs w:val="20"/>
        </w:rPr>
        <w:t>Hartford HealthCare designates this live activity for a maximum of </w:t>
      </w:r>
      <w:r w:rsidRPr="00853B07">
        <w:rPr>
          <w:rFonts w:ascii="Verdana" w:hAnsi="Verdana"/>
          <w:b/>
          <w:bCs/>
          <w:sz w:val="16"/>
          <w:szCs w:val="20"/>
        </w:rPr>
        <w:t>1.00 </w:t>
      </w:r>
      <w:r w:rsidRPr="00853B07">
        <w:rPr>
          <w:rFonts w:ascii="Verdana" w:hAnsi="Verdana"/>
          <w:bCs/>
          <w:i/>
          <w:iCs/>
          <w:sz w:val="16"/>
          <w:szCs w:val="20"/>
        </w:rPr>
        <w:t>AMA PRA Category 1 Credit</w:t>
      </w:r>
      <w:r w:rsidRPr="00853B07">
        <w:rPr>
          <w:rFonts w:ascii="Verdana" w:hAnsi="Verdana"/>
          <w:bCs/>
          <w:sz w:val="16"/>
          <w:szCs w:val="20"/>
        </w:rPr>
        <w:t>™.  Physicians should claim only the credit commensurate with the extent of their participation in the activity.  </w:t>
      </w:r>
    </w:p>
    <w:p w:rsidR="00853B07" w:rsidRPr="00853B07" w:rsidRDefault="00853B07" w:rsidP="00853B07">
      <w:pPr>
        <w:numPr>
          <w:ilvl w:val="1"/>
          <w:numId w:val="3"/>
        </w:numPr>
        <w:ind w:right="-45"/>
        <w:rPr>
          <w:rFonts w:ascii="Verdana" w:hAnsi="Verdana"/>
          <w:bCs/>
          <w:sz w:val="16"/>
          <w:szCs w:val="20"/>
        </w:rPr>
      </w:pPr>
      <w:r w:rsidRPr="00853B07">
        <w:rPr>
          <w:rFonts w:ascii="Verdana" w:hAnsi="Verdana"/>
          <w:bCs/>
          <w:sz w:val="16"/>
          <w:szCs w:val="20"/>
        </w:rPr>
        <w:t xml:space="preserve">MOC for American Board of Internal Medicine:  Successful completion of this CME activity, which includes participation in the evaluation component, enables the participant to earn up to </w:t>
      </w:r>
      <w:r w:rsidRPr="00853B07">
        <w:rPr>
          <w:rFonts w:ascii="Verdana" w:hAnsi="Verdana"/>
          <w:b/>
          <w:bCs/>
          <w:sz w:val="16"/>
          <w:szCs w:val="20"/>
        </w:rPr>
        <w:t>1.00</w:t>
      </w:r>
      <w:r w:rsidRPr="00853B07">
        <w:rPr>
          <w:rFonts w:ascii="Verdana" w:hAnsi="Verdana"/>
          <w:b/>
          <w:bCs/>
          <w:sz w:val="16"/>
          <w:szCs w:val="20"/>
        </w:rPr>
        <w:t xml:space="preserve"> </w:t>
      </w:r>
      <w:r w:rsidRPr="00853B07">
        <w:rPr>
          <w:rFonts w:ascii="Verdana" w:hAnsi="Verdana"/>
          <w:bCs/>
          <w:sz w:val="16"/>
          <w:szCs w:val="20"/>
        </w:rPr>
        <w:t xml:space="preserve">Medical Knowledge MOC points in the American Board of Internal Medicine’s (ABIM) Maintenance of Certification (MOC) program. It is the CME activity provider’s responsibility to submit participant completion information to ACCME </w:t>
      </w:r>
      <w:proofErr w:type="gramStart"/>
      <w:r w:rsidRPr="00853B07">
        <w:rPr>
          <w:rFonts w:ascii="Verdana" w:hAnsi="Verdana"/>
          <w:bCs/>
          <w:sz w:val="16"/>
          <w:szCs w:val="20"/>
        </w:rPr>
        <w:t>for the purpose of</w:t>
      </w:r>
      <w:proofErr w:type="gramEnd"/>
      <w:r w:rsidRPr="00853B07">
        <w:rPr>
          <w:rFonts w:ascii="Verdana" w:hAnsi="Verdana"/>
          <w:bCs/>
          <w:sz w:val="16"/>
          <w:szCs w:val="20"/>
        </w:rPr>
        <w:t xml:space="preserve"> granting ABIM MOC credit.</w:t>
      </w:r>
    </w:p>
    <w:p w:rsidR="00853B07" w:rsidRPr="00853B07" w:rsidRDefault="00853B07" w:rsidP="00853B07">
      <w:pPr>
        <w:numPr>
          <w:ilvl w:val="0"/>
          <w:numId w:val="3"/>
        </w:numPr>
        <w:ind w:right="-45"/>
        <w:rPr>
          <w:rFonts w:ascii="Verdana" w:hAnsi="Verdana"/>
          <w:bCs/>
          <w:sz w:val="16"/>
          <w:szCs w:val="20"/>
        </w:rPr>
      </w:pPr>
      <w:r w:rsidRPr="00853B07">
        <w:rPr>
          <w:rFonts w:ascii="Verdana" w:hAnsi="Verdana"/>
          <w:b/>
          <w:bCs/>
          <w:sz w:val="16"/>
          <w:szCs w:val="20"/>
        </w:rPr>
        <w:t>Nurses:</w:t>
      </w:r>
      <w:r w:rsidRPr="00853B07">
        <w:rPr>
          <w:rFonts w:ascii="Verdana" w:hAnsi="Verdana"/>
          <w:bCs/>
          <w:sz w:val="16"/>
          <w:szCs w:val="20"/>
        </w:rPr>
        <w:t xml:space="preserve"> This activity </w:t>
      </w:r>
      <w:proofErr w:type="gramStart"/>
      <w:r w:rsidRPr="00853B07">
        <w:rPr>
          <w:rFonts w:ascii="Verdana" w:hAnsi="Verdana"/>
          <w:bCs/>
          <w:sz w:val="16"/>
          <w:szCs w:val="20"/>
        </w:rPr>
        <w:t>is designated</w:t>
      </w:r>
      <w:proofErr w:type="gramEnd"/>
      <w:r w:rsidRPr="00853B07">
        <w:rPr>
          <w:rFonts w:ascii="Verdana" w:hAnsi="Verdana"/>
          <w:bCs/>
          <w:sz w:val="16"/>
          <w:szCs w:val="20"/>
        </w:rPr>
        <w:t xml:space="preserve"> for a maximum of </w:t>
      </w:r>
      <w:r w:rsidRPr="00853B07">
        <w:rPr>
          <w:rFonts w:ascii="Verdana" w:hAnsi="Verdana"/>
          <w:b/>
          <w:bCs/>
          <w:sz w:val="16"/>
          <w:szCs w:val="20"/>
        </w:rPr>
        <w:t>1.00</w:t>
      </w:r>
      <w:r w:rsidRPr="00853B07">
        <w:rPr>
          <w:rFonts w:ascii="Verdana" w:hAnsi="Verdana"/>
          <w:b/>
          <w:bCs/>
          <w:sz w:val="16"/>
          <w:szCs w:val="20"/>
        </w:rPr>
        <w:t xml:space="preserve"> </w:t>
      </w:r>
      <w:r w:rsidRPr="00853B07">
        <w:rPr>
          <w:rFonts w:ascii="Verdana" w:hAnsi="Verdana"/>
          <w:bCs/>
          <w:sz w:val="16"/>
          <w:szCs w:val="20"/>
        </w:rPr>
        <w:t>ANCC contact hour.</w:t>
      </w:r>
    </w:p>
    <w:p w:rsidR="00853B07" w:rsidRPr="00853B07" w:rsidRDefault="00853B07" w:rsidP="00853B07">
      <w:pPr>
        <w:numPr>
          <w:ilvl w:val="0"/>
          <w:numId w:val="3"/>
        </w:numPr>
        <w:ind w:right="-45"/>
        <w:rPr>
          <w:rFonts w:ascii="Verdana" w:hAnsi="Verdana"/>
          <w:bCs/>
          <w:sz w:val="16"/>
          <w:szCs w:val="20"/>
        </w:rPr>
      </w:pPr>
      <w:r w:rsidRPr="00853B07">
        <w:rPr>
          <w:rFonts w:ascii="Verdana" w:hAnsi="Verdana"/>
          <w:b/>
          <w:bCs/>
          <w:sz w:val="16"/>
          <w:szCs w:val="20"/>
        </w:rPr>
        <w:t>Other Learners:</w:t>
      </w:r>
      <w:r w:rsidRPr="00853B07">
        <w:rPr>
          <w:rFonts w:ascii="Verdana" w:hAnsi="Verdana"/>
          <w:bCs/>
          <w:sz w:val="16"/>
          <w:szCs w:val="20"/>
        </w:rPr>
        <w:t> All other learners will receive a Certificate of Participation for </w:t>
      </w:r>
      <w:r w:rsidRPr="00853B07">
        <w:rPr>
          <w:rFonts w:ascii="Verdana" w:hAnsi="Verdana"/>
          <w:b/>
          <w:bCs/>
          <w:sz w:val="16"/>
          <w:szCs w:val="20"/>
        </w:rPr>
        <w:t>1.00</w:t>
      </w:r>
      <w:r w:rsidRPr="00853B07">
        <w:rPr>
          <w:rFonts w:ascii="Verdana" w:hAnsi="Verdana"/>
          <w:b/>
          <w:bCs/>
          <w:sz w:val="16"/>
          <w:szCs w:val="20"/>
        </w:rPr>
        <w:t xml:space="preserve"> </w:t>
      </w:r>
      <w:r w:rsidRPr="00853B07">
        <w:rPr>
          <w:rFonts w:ascii="Verdana" w:hAnsi="Verdana"/>
          <w:bCs/>
          <w:sz w:val="16"/>
          <w:szCs w:val="20"/>
        </w:rPr>
        <w:t>hour of education.  Consult your professional licensing board regarding the applicability and acceptance of certificates of participation for educational activities certified for </w:t>
      </w:r>
      <w:r w:rsidRPr="00853B07">
        <w:rPr>
          <w:rFonts w:ascii="Verdana" w:hAnsi="Verdana"/>
          <w:bCs/>
          <w:i/>
          <w:iCs/>
          <w:sz w:val="16"/>
          <w:szCs w:val="20"/>
        </w:rPr>
        <w:t>AMA PRA Category 1 Credit</w:t>
      </w:r>
      <w:r w:rsidRPr="00853B07">
        <w:rPr>
          <w:rFonts w:ascii="Verdana" w:hAnsi="Verdana"/>
          <w:bCs/>
          <w:sz w:val="16"/>
          <w:szCs w:val="20"/>
        </w:rPr>
        <w:t>™ from organizations accredited by Joint Accreditation for Interprofessional Continuing Education.</w:t>
      </w:r>
    </w:p>
    <w:p w:rsidR="00853B07" w:rsidRPr="00853B07" w:rsidRDefault="00853B07" w:rsidP="00853B07">
      <w:pPr>
        <w:ind w:right="-45"/>
        <w:rPr>
          <w:rFonts w:ascii="Verdana" w:hAnsi="Verdana"/>
          <w:bCs/>
          <w:sz w:val="20"/>
          <w:szCs w:val="20"/>
        </w:rPr>
      </w:pPr>
      <w:r w:rsidRPr="00853B07">
        <w:rPr>
          <w:rFonts w:ascii="Arial" w:hAnsi="Arial" w:cs="Arial"/>
          <w:bCs/>
          <w:sz w:val="20"/>
          <w:szCs w:val="20"/>
        </w:rPr>
        <w:t>​</w:t>
      </w:r>
    </w:p>
    <w:p w:rsidR="00E961FE" w:rsidRPr="00E961FE" w:rsidRDefault="009E0618" w:rsidP="00853B07">
      <w:pPr>
        <w:spacing w:line="276" w:lineRule="auto"/>
        <w:rPr>
          <w:rFonts w:ascii="Verdana" w:hAnsi="Verdana"/>
          <w:color w:val="505150"/>
          <w:sz w:val="18"/>
          <w:szCs w:val="20"/>
        </w:rPr>
      </w:pPr>
      <w:r w:rsidRPr="00E961FE">
        <w:rPr>
          <w:rFonts w:ascii="Verdana" w:hAnsi="Verdana"/>
          <w:b/>
          <w:sz w:val="20"/>
          <w:szCs w:val="20"/>
        </w:rPr>
        <w:t>Financial Disclosure</w:t>
      </w:r>
      <w:r w:rsidR="00853B07">
        <w:rPr>
          <w:rFonts w:ascii="Verdana" w:hAnsi="Verdana"/>
          <w:b/>
          <w:sz w:val="20"/>
          <w:szCs w:val="20"/>
        </w:rPr>
        <w:t>s</w:t>
      </w:r>
      <w:r w:rsidRPr="00E961FE">
        <w:rPr>
          <w:rFonts w:ascii="Verdana" w:hAnsi="Verdana"/>
          <w:b/>
          <w:sz w:val="20"/>
          <w:szCs w:val="20"/>
        </w:rPr>
        <w:t>:</w:t>
      </w:r>
      <w:r w:rsidR="00853B07">
        <w:rPr>
          <w:rFonts w:ascii="Verdana" w:hAnsi="Verdana"/>
          <w:b/>
          <w:sz w:val="20"/>
          <w:szCs w:val="20"/>
        </w:rPr>
        <w:t xml:space="preserve">  </w:t>
      </w:r>
      <w:r w:rsidR="00853B07">
        <w:rPr>
          <w:rFonts w:ascii="Verdana" w:hAnsi="Verdana"/>
          <w:sz w:val="20"/>
          <w:szCs w:val="20"/>
        </w:rPr>
        <w:t>None of the planners, directors, nor faculty for this program have any reported relationships with an ineligible company/commercial interest.</w:t>
      </w:r>
      <w:r w:rsidR="00853B07" w:rsidRPr="00E961FE">
        <w:rPr>
          <w:rFonts w:ascii="Verdana" w:hAnsi="Verdana"/>
          <w:color w:val="505150"/>
          <w:sz w:val="18"/>
          <w:szCs w:val="20"/>
        </w:rPr>
        <w:t xml:space="preserve"> </w:t>
      </w:r>
    </w:p>
    <w:p w:rsidR="005A6F92" w:rsidRDefault="009E0618" w:rsidP="0030050C">
      <w:pPr>
        <w:tabs>
          <w:tab w:val="left" w:pos="1530"/>
          <w:tab w:val="left" w:pos="10058"/>
        </w:tabs>
        <w:ind w:right="-1278"/>
      </w:pPr>
      <w:r>
        <w:rPr>
          <w:rFonts w:ascii="Verdana" w:eastAsia="Times New Roman" w:hAnsi="Verdana"/>
          <w:b/>
          <w:noProof/>
          <w:sz w:val="16"/>
          <w:szCs w:val="14"/>
          <w:lang w:eastAsia="en-US"/>
        </w:rPr>
        <w:drawing>
          <wp:anchor distT="0" distB="0" distL="114300" distR="114300" simplePos="0" relativeHeight="251658240" behindDoc="1" locked="0" layoutInCell="1" allowOverlap="1">
            <wp:simplePos x="0" y="0"/>
            <wp:positionH relativeFrom="column">
              <wp:posOffset>215900</wp:posOffset>
            </wp:positionH>
            <wp:positionV relativeFrom="page">
              <wp:posOffset>8568267</wp:posOffset>
            </wp:positionV>
            <wp:extent cx="1456055" cy="998855"/>
            <wp:effectExtent l="0" t="0" r="0" b="0"/>
            <wp:wrapNone/>
            <wp:docPr id="6" name="Picture 6" descr="C:\Users\dgartley\AppData\Local\Microsoft\Windows\INetCache\Content.Word\Jointly_Accredited_Provide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rtley\AppData\Local\Microsoft\Windows\INetCache\Content.Word\Jointly_Accredited_Provider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998855"/>
                    </a:xfrm>
                    <a:prstGeom prst="rect">
                      <a:avLst/>
                    </a:prstGeom>
                    <a:noFill/>
                    <a:ln>
                      <a:noFill/>
                    </a:ln>
                  </pic:spPr>
                </pic:pic>
              </a:graphicData>
            </a:graphic>
          </wp:anchor>
        </w:drawing>
      </w:r>
    </w:p>
    <w:sectPr w:rsidR="005A6F92" w:rsidSect="0039016A">
      <w:footerReference w:type="default" r:id="rId9"/>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0618">
      <w:r>
        <w:separator/>
      </w:r>
    </w:p>
  </w:endnote>
  <w:endnote w:type="continuationSeparator" w:id="0">
    <w:p w:rsidR="00000000" w:rsidRDefault="009E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1" w:rsidRDefault="009E0618">
    <w:pPr>
      <w:pStyle w:val="Footer"/>
    </w:pPr>
    <w:r>
      <w:rPr>
        <w:noProof/>
        <w:lang w:eastAsia="en-US"/>
      </w:rPr>
      <w:drawing>
        <wp:anchor distT="0" distB="0" distL="114300" distR="114300" simplePos="0" relativeHeight="251658240" behindDoc="0" locked="0" layoutInCell="1" allowOverlap="1">
          <wp:simplePos x="0" y="0"/>
          <wp:positionH relativeFrom="column">
            <wp:posOffset>4966335</wp:posOffset>
          </wp:positionH>
          <wp:positionV relativeFrom="paragraph">
            <wp:posOffset>-766445</wp:posOffset>
          </wp:positionV>
          <wp:extent cx="1823844" cy="775889"/>
          <wp:effectExtent l="0" t="0" r="508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C_4C.eps"/>
                  <pic:cNvPicPr/>
                </pic:nvPicPr>
                <pic:blipFill>
                  <a:blip r:embed="rId1">
                    <a:extLst>
                      <a:ext uri="{28A0092B-C50C-407E-A947-70E740481C1C}">
                        <a14:useLocalDpi xmlns:a14="http://schemas.microsoft.com/office/drawing/2010/main" val="0"/>
                      </a:ext>
                    </a:extLst>
                  </a:blip>
                  <a:stretch>
                    <a:fillRect/>
                  </a:stretch>
                </pic:blipFill>
                <pic:spPr>
                  <a:xfrm>
                    <a:off x="0" y="0"/>
                    <a:ext cx="1823844" cy="7758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0618">
      <w:r>
        <w:separator/>
      </w:r>
    </w:p>
  </w:footnote>
  <w:footnote w:type="continuationSeparator" w:id="0">
    <w:p w:rsidR="00000000" w:rsidRDefault="009E0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12AB"/>
    <w:multiLevelType w:val="multilevel"/>
    <w:tmpl w:val="D2220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609E6"/>
    <w:multiLevelType w:val="hybridMultilevel"/>
    <w:tmpl w:val="C262B4C0"/>
    <w:lvl w:ilvl="0" w:tplc="7902A7F6">
      <w:start w:val="1"/>
      <w:numFmt w:val="decimal"/>
      <w:lvlText w:val="%1."/>
      <w:lvlJc w:val="left"/>
      <w:pPr>
        <w:ind w:left="990" w:hanging="360"/>
      </w:pPr>
    </w:lvl>
    <w:lvl w:ilvl="1" w:tplc="F8E4D454" w:tentative="1">
      <w:start w:val="1"/>
      <w:numFmt w:val="lowerLetter"/>
      <w:lvlText w:val="%2."/>
      <w:lvlJc w:val="left"/>
      <w:pPr>
        <w:ind w:left="1440" w:hanging="360"/>
      </w:pPr>
    </w:lvl>
    <w:lvl w:ilvl="2" w:tplc="18A28756" w:tentative="1">
      <w:start w:val="1"/>
      <w:numFmt w:val="lowerRoman"/>
      <w:lvlText w:val="%3."/>
      <w:lvlJc w:val="right"/>
      <w:pPr>
        <w:ind w:left="2160" w:hanging="180"/>
      </w:pPr>
    </w:lvl>
    <w:lvl w:ilvl="3" w:tplc="4D5E7A84" w:tentative="1">
      <w:start w:val="1"/>
      <w:numFmt w:val="decimal"/>
      <w:lvlText w:val="%4."/>
      <w:lvlJc w:val="left"/>
      <w:pPr>
        <w:ind w:left="2880" w:hanging="360"/>
      </w:pPr>
    </w:lvl>
    <w:lvl w:ilvl="4" w:tplc="99F03492" w:tentative="1">
      <w:start w:val="1"/>
      <w:numFmt w:val="lowerLetter"/>
      <w:lvlText w:val="%5."/>
      <w:lvlJc w:val="left"/>
      <w:pPr>
        <w:ind w:left="3600" w:hanging="360"/>
      </w:pPr>
    </w:lvl>
    <w:lvl w:ilvl="5" w:tplc="38D81230" w:tentative="1">
      <w:start w:val="1"/>
      <w:numFmt w:val="lowerRoman"/>
      <w:lvlText w:val="%6."/>
      <w:lvlJc w:val="right"/>
      <w:pPr>
        <w:ind w:left="4320" w:hanging="180"/>
      </w:pPr>
    </w:lvl>
    <w:lvl w:ilvl="6" w:tplc="F9A26FA2" w:tentative="1">
      <w:start w:val="1"/>
      <w:numFmt w:val="decimal"/>
      <w:lvlText w:val="%7."/>
      <w:lvlJc w:val="left"/>
      <w:pPr>
        <w:ind w:left="5040" w:hanging="360"/>
      </w:pPr>
    </w:lvl>
    <w:lvl w:ilvl="7" w:tplc="022A3D10" w:tentative="1">
      <w:start w:val="1"/>
      <w:numFmt w:val="lowerLetter"/>
      <w:lvlText w:val="%8."/>
      <w:lvlJc w:val="left"/>
      <w:pPr>
        <w:ind w:left="5760" w:hanging="360"/>
      </w:pPr>
    </w:lvl>
    <w:lvl w:ilvl="8" w:tplc="1980A52C" w:tentative="1">
      <w:start w:val="1"/>
      <w:numFmt w:val="lowerRoman"/>
      <w:lvlText w:val="%9."/>
      <w:lvlJc w:val="right"/>
      <w:pPr>
        <w:ind w:left="6480" w:hanging="180"/>
      </w:pPr>
    </w:lvl>
  </w:abstractNum>
  <w:abstractNum w:abstractNumId="2" w15:restartNumberingAfterBreak="0">
    <w:nsid w:val="7E054874"/>
    <w:multiLevelType w:val="hybridMultilevel"/>
    <w:tmpl w:val="A0F6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proofState w:spelling="clean" w:grammar="clean"/>
  <w:doNotTrackMove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B"/>
    <w:rsid w:val="00011B9B"/>
    <w:rsid w:val="0070695F"/>
    <w:rsid w:val="00853B07"/>
    <w:rsid w:val="009E06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E95D36-AFB4-4FDC-861C-EE770D0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B0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27"/>
    <w:rPr>
      <w:rFonts w:ascii="Lucida Grande" w:hAnsi="Lucida Grande"/>
      <w:sz w:val="18"/>
      <w:szCs w:val="18"/>
    </w:rPr>
  </w:style>
  <w:style w:type="paragraph" w:styleId="Header">
    <w:name w:val="header"/>
    <w:basedOn w:val="Normal"/>
    <w:link w:val="HeaderChar"/>
    <w:uiPriority w:val="99"/>
    <w:unhideWhenUsed/>
    <w:rsid w:val="00CC6964"/>
    <w:pPr>
      <w:tabs>
        <w:tab w:val="center" w:pos="4680"/>
        <w:tab w:val="right" w:pos="9360"/>
      </w:tabs>
    </w:pPr>
  </w:style>
  <w:style w:type="character" w:customStyle="1" w:styleId="HeaderChar">
    <w:name w:val="Header Char"/>
    <w:basedOn w:val="DefaultParagraphFont"/>
    <w:link w:val="Header"/>
    <w:uiPriority w:val="99"/>
    <w:rsid w:val="00CC6964"/>
    <w:rPr>
      <w:sz w:val="24"/>
      <w:szCs w:val="24"/>
    </w:rPr>
  </w:style>
  <w:style w:type="paragraph" w:styleId="Footer">
    <w:name w:val="footer"/>
    <w:basedOn w:val="Normal"/>
    <w:link w:val="FooterChar"/>
    <w:uiPriority w:val="99"/>
    <w:unhideWhenUsed/>
    <w:rsid w:val="00CC6964"/>
    <w:pPr>
      <w:tabs>
        <w:tab w:val="center" w:pos="4680"/>
        <w:tab w:val="right" w:pos="9360"/>
      </w:tabs>
    </w:pPr>
  </w:style>
  <w:style w:type="character" w:customStyle="1" w:styleId="FooterChar">
    <w:name w:val="Footer Char"/>
    <w:basedOn w:val="DefaultParagraphFont"/>
    <w:link w:val="Footer"/>
    <w:uiPriority w:val="99"/>
    <w:rsid w:val="00CC6964"/>
    <w:rPr>
      <w:sz w:val="24"/>
      <w:szCs w:val="24"/>
    </w:rPr>
  </w:style>
  <w:style w:type="character" w:styleId="Hyperlink">
    <w:name w:val="Hyperlink"/>
    <w:uiPriority w:val="99"/>
    <w:unhideWhenUsed/>
    <w:rsid w:val="007D5704"/>
    <w:rPr>
      <w:color w:val="0000FF"/>
      <w:u w:val="single"/>
    </w:rPr>
  </w:style>
  <w:style w:type="paragraph" w:styleId="ListParagraph">
    <w:name w:val="List Paragraph"/>
    <w:basedOn w:val="Normal"/>
    <w:uiPriority w:val="34"/>
    <w:qFormat/>
    <w:rsid w:val="007D5704"/>
    <w:pPr>
      <w:ind w:left="720"/>
      <w:contextualSpacing/>
    </w:pPr>
    <w:rPr>
      <w:rFonts w:ascii="Cambria" w:eastAsia="MS Mincho" w:hAnsi="Cambria" w:cs="Times New Roman"/>
      <w:lang w:eastAsia="en-US"/>
    </w:rPr>
  </w:style>
  <w:style w:type="character" w:styleId="Strong">
    <w:name w:val="Strong"/>
    <w:basedOn w:val="DefaultParagraphFont"/>
    <w:uiPriority w:val="22"/>
    <w:qFormat/>
    <w:rsid w:val="00323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79835">
      <w:bodyDiv w:val="1"/>
      <w:marLeft w:val="0"/>
      <w:marRight w:val="0"/>
      <w:marTop w:val="0"/>
      <w:marBottom w:val="0"/>
      <w:divBdr>
        <w:top w:val="none" w:sz="0" w:space="0" w:color="auto"/>
        <w:left w:val="none" w:sz="0" w:space="0" w:color="auto"/>
        <w:bottom w:val="none" w:sz="0" w:space="0" w:color="auto"/>
        <w:right w:val="none" w:sz="0" w:space="0" w:color="auto"/>
      </w:divBdr>
      <w:divsChild>
        <w:div w:id="823352173">
          <w:marLeft w:val="0"/>
          <w:marRight w:val="0"/>
          <w:marTop w:val="0"/>
          <w:marBottom w:val="0"/>
          <w:divBdr>
            <w:top w:val="none" w:sz="0" w:space="0" w:color="auto"/>
            <w:left w:val="none" w:sz="0" w:space="0" w:color="auto"/>
            <w:bottom w:val="none" w:sz="0" w:space="0" w:color="auto"/>
            <w:right w:val="none" w:sz="0" w:space="0" w:color="auto"/>
          </w:divBdr>
        </w:div>
        <w:div w:id="16256991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7A3E-C16F-46AC-819B-478B318D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Gartley, Deborah</cp:lastModifiedBy>
  <cp:revision>7</cp:revision>
  <cp:lastPrinted>2020-08-05T18:15:00Z</cp:lastPrinted>
  <dcterms:created xsi:type="dcterms:W3CDTF">2020-10-23T14:11:00Z</dcterms:created>
  <dcterms:modified xsi:type="dcterms:W3CDTF">2023-03-22T22:30:00Z</dcterms:modified>
</cp:coreProperties>
</file>