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D2A16" w:rsidRPr="009838F7" w:rsidP="0030050C">
      <w:pPr>
        <w:jc w:val="center"/>
        <w:rPr>
          <w:rFonts w:ascii="Verdana" w:hAnsi="Verdana"/>
          <w:b/>
          <w:color w:val="D2492A"/>
          <w:sz w:val="36"/>
        </w:rPr>
      </w:pPr>
      <w:r>
        <w:t xml:space="preserve"> </w:t>
      </w:r>
      <w:r w:rsidR="00447C78">
        <w:rPr>
          <w:rFonts w:ascii="Verdana" w:hAnsi="Verdana"/>
          <w:b/>
          <w:noProof/>
          <w:color w:val="D2492A"/>
          <w:sz w:val="52"/>
        </w:rPr>
        <w:t>New England</w:t>
      </w:r>
      <w:r>
        <w:rPr>
          <w:rFonts w:ascii="Verdana" w:hAnsi="Verdana"/>
          <w:b/>
          <w:color w:val="D2492A"/>
          <w:sz w:val="52"/>
        </w:rPr>
        <w:t xml:space="preserve"> Shoulder and Elbow Society (NESES) 22nd Annual Meeting</w:t>
      </w:r>
    </w:p>
    <w:p w:rsidR="005D2A16" w:rsidRPr="00B93FCE" w:rsidP="0030050C">
      <w:pPr>
        <w:jc w:val="center"/>
        <w:rPr>
          <w:rFonts w:ascii="Verdana" w:hAnsi="Verdana"/>
          <w:color w:val="000000" w:themeColor="text1"/>
          <w:sz w:val="6"/>
          <w:szCs w:val="12"/>
        </w:rPr>
      </w:pPr>
    </w:p>
    <w:p w:rsidR="005D2A16" w:rsidP="0030050C">
      <w:pPr>
        <w:jc w:val="center"/>
        <w:rPr>
          <w:rFonts w:ascii="Lucida Handwriting" w:hAnsi="Lucida Handwriting"/>
          <w:color w:val="000000" w:themeColor="text1"/>
          <w:sz w:val="16"/>
          <w:szCs w:val="12"/>
        </w:rPr>
      </w:pPr>
      <w:r w:rsidRPr="009838F7">
        <w:rPr>
          <w:rFonts w:ascii="Lucida Handwriting" w:hAnsi="Lucida Handwriting"/>
          <w:color w:val="000000" w:themeColor="text1"/>
          <w:sz w:val="16"/>
          <w:szCs w:val="12"/>
        </w:rPr>
        <w:t>presented by</w:t>
      </w:r>
    </w:p>
    <w:p w:rsidR="005D2A16" w:rsidRPr="00B93FCE" w:rsidP="0030050C">
      <w:pPr>
        <w:jc w:val="center"/>
        <w:rPr>
          <w:rFonts w:ascii="Lucida Handwriting" w:hAnsi="Lucida Handwriting"/>
          <w:color w:val="000000" w:themeColor="text1"/>
          <w:sz w:val="6"/>
          <w:szCs w:val="12"/>
        </w:rPr>
      </w:pPr>
    </w:p>
    <w:p w:rsidR="005D2A16" w:rsidRPr="009838F7" w:rsidP="0030050C">
      <w:pPr>
        <w:jc w:val="center"/>
        <w:rPr>
          <w:rFonts w:ascii="Verdana" w:hAnsi="Verdana"/>
          <w:color w:val="000000" w:themeColor="text1"/>
          <w:sz w:val="4"/>
          <w:szCs w:val="12"/>
        </w:rPr>
      </w:pPr>
    </w:p>
    <w:p w:rsidR="00E961FE" w:rsidP="0030050C">
      <w:pPr>
        <w:jc w:val="center"/>
        <w:rPr>
          <w:rFonts w:ascii="Verdana" w:hAnsi="Verdana"/>
          <w:b/>
          <w:color w:val="D2492A"/>
          <w:sz w:val="36"/>
        </w:rPr>
      </w:pPr>
      <w:r w:rsidR="00447C78">
        <w:rPr>
          <w:rFonts w:ascii="Verdana" w:hAnsi="Verdana"/>
          <w:b/>
          <w:noProof/>
          <w:color w:val="D2492A"/>
          <w:sz w:val="36"/>
        </w:rPr>
        <w:t>Frank Alberta</w:t>
      </w:r>
      <w:r>
        <w:rPr>
          <w:rFonts w:ascii="Verdana" w:hAnsi="Verdana"/>
          <w:b/>
          <w:color w:val="D2492A"/>
          <w:sz w:val="36"/>
        </w:rPr>
        <w:t>, MD; Carl Nissen, MD; Andrew E Caputo, MD; Charles Cassidy, MD; Hervay Kimball, MD; Arun Ramappa, MD; Evan O'donnell, MD; Paul Sethi, MD; Arnold Alqueza, MD; Cory Edgar, MD; Joseph Deangelis, MD; Brandon Earp, MD; Robert Arciero, MD; Bassem El, MD; Jon J Warner, MD; David Fehnel, MD; Neal Chen, MD; Eric Tolo, MD; George Dyer, MD; Jacob Kirsch, MD; Kyle Flik, MD; Peter Waters, MD; John Kuhn, MD; Samuel Taylor, MD</w:t>
      </w:r>
    </w:p>
    <w:p w:rsidR="005D2A16" w:rsidP="0030050C">
      <w:pPr>
        <w:jc w:val="center"/>
        <w:rPr>
          <w:rFonts w:ascii="Verdana" w:hAnsi="Verdana"/>
          <w:b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begin"/>
      </w:r>
      <w:r>
        <w:rPr>
          <w:rFonts w:ascii="Verdana" w:hAnsi="Verdana"/>
          <w:i/>
          <w:color w:val="D2492A"/>
          <w:sz w:val="36"/>
        </w:rPr>
        <w:instrText xml:space="preserve"> IF </w:instrText>
      </w:r>
      <w:r w:rsidR="00447C78">
        <w:rPr>
          <w:rFonts w:ascii="Verdana" w:hAnsi="Verdana"/>
          <w:i/>
          <w:noProof/>
          <w:color w:val="D2492A"/>
          <w:sz w:val="36"/>
        </w:rPr>
        <w:instrText>"</w:instrText>
      </w:r>
      <w:r w:rsidR="00447C78">
        <w:rPr>
          <w:rFonts w:ascii="Verdana" w:hAnsi="Verdana"/>
          <w:i/>
          <w:noProof/>
          <w:color w:val="D2492A"/>
          <w:sz w:val="36"/>
        </w:rPr>
        <w:instrText>Associate Professor</w:instrText>
      </w:r>
      <w:r w:rsidR="00447C78">
        <w:rPr>
          <w:rFonts w:ascii="Verdana" w:hAnsi="Verdana"/>
          <w:i/>
          <w:noProof/>
          <w:color w:val="D2492A"/>
          <w:sz w:val="36"/>
        </w:rPr>
        <w:instrText>"</w:instrText>
      </w:r>
      <w:r>
        <w:rPr>
          <w:rFonts w:ascii="Verdana" w:hAnsi="Verdana"/>
          <w:i/>
          <w:color w:val="D2492A"/>
          <w:sz w:val="36"/>
        </w:rPr>
        <w:instrText xml:space="preserve">  = "" "</w:instrText>
      </w:r>
    </w:p>
    <w:p w:rsidR="005D2A16" w:rsidRPr="00C129C8" w:rsidP="0030050C">
      <w:pPr>
        <w:jc w:val="center"/>
        <w:rPr>
          <w:rFonts w:ascii="Verdana" w:hAnsi="Verdana"/>
          <w:i/>
          <w:color w:val="D2492A"/>
          <w:sz w:val="36"/>
        </w:rPr>
      </w:pPr>
      <w:r>
        <w:rPr>
          <w:rFonts w:ascii="Verdana" w:hAnsi="Verdana"/>
          <w:i/>
          <w:color w:val="D2492A"/>
          <w:sz w:val="36"/>
        </w:rPr>
        <w:fldChar w:fldCharType="begin"/>
      </w:r>
      <w:r>
        <w:rPr>
          <w:rFonts w:ascii="Verdana" w:hAnsi="Verdana"/>
          <w:i/>
          <w:color w:val="D2492A"/>
          <w:sz w:val="36"/>
        </w:rPr>
        <w:instrText xml:space="preserve"> MERGEFIELD  ProfessionalTitle  \* MERGEFORMAT </w:instrText>
      </w:r>
      <w:r>
        <w:rPr>
          <w:rFonts w:ascii="Verdana" w:hAnsi="Verdana"/>
          <w:i/>
          <w:color w:val="D2492A"/>
          <w:sz w:val="36"/>
        </w:rPr>
        <w:fldChar w:fldCharType="separate"/>
      </w:r>
      <w:r>
        <w:rPr>
          <w:rFonts w:ascii="Verdana" w:hAnsi="Verdana"/>
          <w:i/>
          <w:noProof/>
          <w:color w:val="D2492A"/>
          <w:sz w:val="36"/>
        </w:rPr>
        <w:instrText>«ProfessionalTitle»</w:instrText>
      </w:r>
      <w:r>
        <w:rPr>
          <w:rFonts w:ascii="Verdana" w:hAnsi="Verdana"/>
          <w:i/>
          <w:color w:val="D2492A"/>
          <w:sz w:val="36"/>
        </w:rPr>
        <w:fldChar w:fldCharType="end"/>
      </w:r>
      <w:r>
        <w:rPr>
          <w:rFonts w:ascii="Verdana" w:hAnsi="Verdana"/>
          <w:i/>
          <w:color w:val="D2492A"/>
          <w:sz w:val="36"/>
        </w:rPr>
        <w:instrText xml:space="preserve">" </w:instrText>
      </w:r>
      <w:r>
        <w:rPr>
          <w:rFonts w:ascii="Verdana" w:hAnsi="Verdana"/>
          <w:i/>
          <w:color w:val="D2492A"/>
          <w:sz w:val="36"/>
        </w:rPr>
        <w:fldChar w:fldCharType="separate"/>
      </w:r>
      <w:r>
        <w:rPr>
          <w:rFonts w:ascii="Verdana" w:hAnsi="Verdana"/>
          <w:i/>
          <w:color w:val="D2492A"/>
          <w:sz w:val="36"/>
        </w:rPr>
        <w:fldChar w:fldCharType="end"/>
      </w:r>
    </w:p>
    <w:p w:rsidR="005D2A16" w:rsidRPr="007D5704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 xml:space="preserve">Thursday, </w:t>
      </w:r>
      <w:r>
        <w:rPr>
          <w:rFonts w:ascii="Verdana" w:hAnsi="Verdana"/>
          <w:b/>
          <w:sz w:val="32"/>
          <w:szCs w:val="19"/>
        </w:rPr>
        <w:t>January 30, 2025</w:t>
      </w:r>
    </w:p>
    <w:p w:rsidR="00E961FE" w:rsidP="0030050C">
      <w:pPr>
        <w:spacing w:line="276" w:lineRule="auto"/>
        <w:jc w:val="center"/>
        <w:rPr>
          <w:rFonts w:ascii="Verdana" w:hAnsi="Verdana"/>
          <w:b/>
          <w:sz w:val="32"/>
          <w:szCs w:val="19"/>
        </w:rPr>
      </w:pPr>
      <w:r w:rsidR="00447C78">
        <w:rPr>
          <w:rFonts w:ascii="Verdana" w:hAnsi="Verdana"/>
          <w:b/>
          <w:noProof/>
          <w:sz w:val="32"/>
          <w:szCs w:val="19"/>
        </w:rPr>
        <w:t>6:00</w:t>
      </w:r>
      <w:r>
        <w:rPr>
          <w:rFonts w:ascii="Verdana" w:hAnsi="Verdana"/>
          <w:b/>
          <w:sz w:val="32"/>
          <w:szCs w:val="19"/>
        </w:rPr>
        <w:t xml:space="preserve"> PM</w:t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Other (</w:t>
      </w:r>
      <w:r>
        <w:rPr>
          <w:rFonts w:ascii="Verdana" w:hAnsi="Verdana"/>
          <w:b/>
          <w:sz w:val="32"/>
          <w:szCs w:val="32"/>
        </w:rPr>
        <w:t>Email ContinuingEd@hhchealth.org with the location)</w:t>
      </w:r>
      <w:r w:rsidRPr="00E961FE">
        <w:rPr>
          <w:rFonts w:ascii="Verdana" w:hAnsi="Verdana"/>
          <w:b/>
          <w:sz w:val="32"/>
          <w:szCs w:val="32"/>
        </w:rPr>
        <w:fldChar w:fldCharType="begin"/>
      </w:r>
      <w:r w:rsidRPr="00E961FE">
        <w:rPr>
          <w:rFonts w:ascii="Verdana" w:hAnsi="Verdana"/>
          <w:b/>
          <w:sz w:val="32"/>
          <w:szCs w:val="32"/>
        </w:rPr>
        <w:instrText xml:space="preserve"> IF </w:instrText>
      </w:r>
      <w:r w:rsidR="00447C78">
        <w:rPr>
          <w:rFonts w:ascii="Verdana" w:hAnsi="Verdana"/>
          <w:b/>
          <w:noProof/>
          <w:sz w:val="32"/>
          <w:szCs w:val="32"/>
        </w:rPr>
        <w:instrText>"</w:instrText>
      </w:r>
      <w:r w:rsidR="00447C78">
        <w:rPr>
          <w:rFonts w:ascii="Verdana" w:hAnsi="Verdana"/>
          <w:b/>
          <w:noProof/>
          <w:sz w:val="32"/>
          <w:szCs w:val="32"/>
        </w:rPr>
        <w:instrText>Other (</w:instrText>
      </w:r>
      <w:r w:rsidRPr="00E961FE">
        <w:rPr>
          <w:rFonts w:ascii="Verdana" w:hAnsi="Verdana"/>
          <w:b/>
          <w:sz w:val="32"/>
          <w:szCs w:val="32"/>
        </w:rPr>
        <w:instrText>Email ContinuingEd@hhchealth.org with the location)</w:instrText>
      </w:r>
      <w:r w:rsidRPr="00E961FE">
        <w:rPr>
          <w:rFonts w:ascii="Verdana" w:hAnsi="Verdana"/>
          <w:b/>
          <w:sz w:val="32"/>
          <w:szCs w:val="32"/>
        </w:rPr>
        <w:instrText>"</w:instrText>
      </w:r>
      <w:r w:rsidRPr="00E961FE">
        <w:rPr>
          <w:rFonts w:ascii="Verdana" w:hAnsi="Verdana"/>
          <w:b/>
          <w:sz w:val="32"/>
          <w:szCs w:val="32"/>
        </w:rPr>
        <w:instrText xml:space="preserve"> = "" "" "</w:instrText>
      </w:r>
    </w:p>
    <w:p w:rsidR="00447C78" w:rsidRPr="00E961FE" w:rsidP="0030050C">
      <w:pPr>
        <w:spacing w:line="276" w:lineRule="auto"/>
        <w:jc w:val="center"/>
        <w:rPr>
          <w:rFonts w:ascii="Verdana" w:hAnsi="Verdana"/>
          <w:b/>
          <w:noProof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instrText>Other (</w:instrText>
      </w:r>
      <w:r w:rsidRPr="00E961FE">
        <w:rPr>
          <w:rFonts w:ascii="Verdana" w:hAnsi="Verdana"/>
          <w:b/>
          <w:sz w:val="32"/>
          <w:szCs w:val="32"/>
        </w:rPr>
        <w:instrText>Email ContinuingEd@hhchealth.org with the location)</w:instrText>
      </w:r>
      <w:r w:rsidRPr="00E961FE">
        <w:rPr>
          <w:rFonts w:ascii="Verdana" w:hAnsi="Verdana"/>
          <w:b/>
          <w:sz w:val="32"/>
          <w:szCs w:val="32"/>
        </w:rPr>
        <w:instrText xml:space="preserve">" </w:instrText>
      </w:r>
      <w:r>
        <w:rPr>
          <w:rFonts w:ascii="Verdana" w:hAnsi="Verdana"/>
          <w:b/>
          <w:sz w:val="32"/>
          <w:szCs w:val="32"/>
        </w:rPr>
        <w:fldChar w:fldCharType="separate"/>
      </w:r>
    </w:p>
    <w:p w:rsidR="005D2A16" w:rsidRPr="00E961FE" w:rsidP="0030050C">
      <w:pPr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="00447C78">
        <w:rPr>
          <w:rFonts w:ascii="Verdana" w:hAnsi="Verdana"/>
          <w:b/>
          <w:noProof/>
          <w:sz w:val="32"/>
          <w:szCs w:val="32"/>
        </w:rPr>
        <w:t>Other (</w:t>
      </w:r>
      <w:r w:rsidRPr="00E961FE">
        <w:rPr>
          <w:rFonts w:ascii="Verdana" w:hAnsi="Verdana"/>
          <w:b/>
          <w:sz w:val="32"/>
          <w:szCs w:val="32"/>
        </w:rPr>
        <w:t>Email ContinuingEd@hhchealth.org with the location)</w:t>
      </w:r>
      <w:r w:rsidRPr="00E961FE">
        <w:rPr>
          <w:rFonts w:ascii="Verdana" w:hAnsi="Verdana"/>
          <w:b/>
          <w:sz w:val="32"/>
          <w:szCs w:val="32"/>
        </w:rPr>
        <w:fldChar w:fldCharType="end"/>
      </w:r>
    </w:p>
    <w:p w:rsidR="005D2A16" w:rsidRPr="009838F7" w:rsidP="0030050C">
      <w:pPr>
        <w:spacing w:line="276" w:lineRule="auto"/>
        <w:rPr>
          <w:rFonts w:ascii="Verdana" w:hAnsi="Verdana"/>
          <w:sz w:val="20"/>
          <w:szCs w:val="22"/>
          <w:vertAlign w:val="superscript"/>
        </w:rPr>
      </w:pPr>
    </w:p>
    <w:p w:rsidR="005D2A16" w:rsidP="0030050C">
      <w:pPr>
        <w:rPr>
          <w:rFonts w:ascii="Verdana" w:hAnsi="Verdana"/>
          <w:i/>
          <w:iCs/>
          <w:color w:val="0098C3"/>
        </w:rPr>
      </w:pPr>
    </w:p>
    <w:p w:rsidR="005D2A16" w:rsidP="0030050C">
      <w:pPr>
        <w:rPr>
          <w:rFonts w:ascii="Verdana" w:hAnsi="Verdana"/>
          <w:i/>
          <w:szCs w:val="26"/>
        </w:rPr>
      </w:pPr>
      <w:r w:rsidRPr="009838F7">
        <w:rPr>
          <w:rFonts w:ascii="Verdana" w:hAnsi="Verdana"/>
          <w:b/>
          <w:szCs w:val="26"/>
        </w:rPr>
        <w:t>Learning Objectives:</w:t>
      </w:r>
      <w:r w:rsidRPr="009838F7">
        <w:rPr>
          <w:rFonts w:ascii="Verdana" w:hAnsi="Verdana"/>
          <w:szCs w:val="26"/>
        </w:rPr>
        <w:t xml:space="preserve">  </w:t>
      </w:r>
      <w:r w:rsidRPr="009838F7">
        <w:rPr>
          <w:rFonts w:ascii="Verdana" w:hAnsi="Verdana"/>
          <w:i/>
          <w:szCs w:val="26"/>
        </w:rPr>
        <w:t xml:space="preserve">As a result of participating in this </w:t>
      </w:r>
      <w:r w:rsidR="00447C78">
        <w:rPr>
          <w:rFonts w:ascii="Verdana" w:hAnsi="Verdana"/>
          <w:i/>
          <w:noProof/>
          <w:szCs w:val="26"/>
        </w:rPr>
        <w:t>Live Activity</w:t>
      </w:r>
      <w:r w:rsidRPr="009838F7">
        <w:rPr>
          <w:rFonts w:ascii="Verdana" w:hAnsi="Verdana"/>
          <w:i/>
          <w:szCs w:val="26"/>
        </w:rPr>
        <w:t>, participants should be able to: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 w:rsidR="00447C78">
        <w:rPr>
          <w:rFonts w:ascii="Verdana" w:hAnsi="Verdana"/>
          <w:i/>
          <w:noProof/>
          <w:szCs w:val="26"/>
        </w:rPr>
        <w:t>1 Review</w:t>
      </w:r>
      <w:r>
        <w:rPr>
          <w:rFonts w:ascii="Verdana" w:hAnsi="Verdana"/>
          <w:i/>
          <w:szCs w:val="26"/>
        </w:rPr>
        <w:t xml:space="preserve"> best practice recommendations for diagnosis and treatment of  shoulder and elbow injuries or conditions</w:t>
      </w:r>
    </w:p>
    <w:p w:rsidR="005D2A16" w:rsidRPr="00052A60" w:rsidP="00E961FE">
      <w:pPr>
        <w:ind w:left="720"/>
        <w:rPr>
          <w:rFonts w:ascii="Verdana" w:hAnsi="Verdana"/>
          <w:i/>
          <w:szCs w:val="26"/>
        </w:rPr>
      </w:pPr>
      <w:r>
        <w:rPr>
          <w:rFonts w:ascii="Verdana" w:hAnsi="Verdana"/>
          <w:i/>
          <w:szCs w:val="26"/>
        </w:rPr>
        <w:t>2 Apply best practice recommendations for diagnosis and treatment of  shoulder and elbow injuries or conditions</w:t>
      </w:r>
    </w:p>
    <w:p w:rsidR="005D2A16" w:rsidRPr="00C93D3E" w:rsidP="0030050C">
      <w:pPr>
        <w:jc w:val="center"/>
        <w:rPr>
          <w:rFonts w:ascii="Verdana" w:hAnsi="Verdana"/>
          <w:color w:val="D2492A"/>
          <w:sz w:val="28"/>
        </w:rPr>
      </w:pPr>
    </w:p>
    <w:p w:rsidR="005D2A16" w:rsidRPr="00E961FE" w:rsidP="0030050C">
      <w:pPr>
        <w:ind w:right="-45"/>
        <w:rPr>
          <w:sz w:val="20"/>
          <w:szCs w:val="20"/>
        </w:rPr>
      </w:pPr>
    </w:p>
    <w:p w:rsidR="005D2A16" w:rsidRPr="00E961FE" w:rsidP="0030050C">
      <w:pPr>
        <w:ind w:right="-45"/>
        <w:rPr>
          <w:rFonts w:ascii="Verdana" w:eastAsia="Times New Roman" w:hAnsi="Verdana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Accreditation Statement:  </w:t>
      </w:r>
      <w:r w:rsidRPr="00E961FE">
        <w:rPr>
          <w:rFonts w:ascii="Verdana" w:eastAsia="Times New Roman" w:hAnsi="Verdana"/>
          <w:sz w:val="20"/>
          <w:szCs w:val="20"/>
        </w:rPr>
        <w:t>In support of improving patient care, Hartford HealthCare is jointly accredited by the Accreditation Council for Continuing Medical Education (ACCME), the Accreditation Council for Pharmacy Education (ACPE), and the American Nur</w:t>
      </w:r>
      <w:r w:rsidR="009A3E9A">
        <w:rPr>
          <w:rFonts w:ascii="Verdana" w:eastAsia="Times New Roman" w:hAnsi="Verdana"/>
          <w:sz w:val="20"/>
          <w:szCs w:val="20"/>
        </w:rPr>
        <w:t>ses Credentialing Center (ANCC)</w:t>
      </w:r>
      <w:r w:rsidRPr="00E961FE">
        <w:rPr>
          <w:rFonts w:ascii="Verdana" w:eastAsia="Times New Roman" w:hAnsi="Verdana"/>
          <w:sz w:val="20"/>
          <w:szCs w:val="20"/>
        </w:rPr>
        <w:t xml:space="preserve"> to provide continuing education for the healthcare team.</w:t>
      </w:r>
    </w:p>
    <w:p w:rsidR="005D2A16" w:rsidRPr="00E961FE" w:rsidP="0030050C">
      <w:pPr>
        <w:ind w:right="-45"/>
        <w:rPr>
          <w:rFonts w:ascii="Verdana" w:eastAsia="Times New Roman" w:hAnsi="Verdana"/>
          <w:sz w:val="16"/>
          <w:szCs w:val="20"/>
        </w:rPr>
      </w:pPr>
    </w:p>
    <w:p w:rsidR="005D2A16" w:rsidRPr="00E961FE" w:rsidP="0030050C">
      <w:pPr>
        <w:ind w:right="-45"/>
        <w:rPr>
          <w:rFonts w:ascii="Verdana" w:hAnsi="Verdana"/>
          <w:bCs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 xml:space="preserve">Credit Designation Statement:  </w: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was planned by and for the healthcare team, and learners will receive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IPCEHoursMax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«IPCEHoursMax»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Interprofessional Continuing Education(IPCE) credit for learning and change.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13.00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"Hartford Healt</w:instrText>
      </w:r>
      <w:r w:rsidR="00447C78">
        <w:rPr>
          <w:rFonts w:ascii="Verdana" w:hAnsi="Verdana"/>
          <w:bCs/>
          <w:sz w:val="20"/>
          <w:szCs w:val="20"/>
        </w:rPr>
        <w:instrText>h</w:instrText>
      </w:r>
      <w:r w:rsidRPr="00E961FE">
        <w:rPr>
          <w:rFonts w:ascii="Verdana" w:hAnsi="Verdana"/>
          <w:bCs/>
          <w:sz w:val="20"/>
          <w:szCs w:val="20"/>
        </w:rPr>
        <w:instrText xml:space="preserve">care designates this </w:instrText>
      </w:r>
      <w:r w:rsidRPr="00E961FE">
        <w:rPr>
          <w:rFonts w:ascii="Verdana" w:hAnsi="Verdana"/>
          <w:bCs/>
          <w:noProof/>
          <w:sz w:val="20"/>
          <w:szCs w:val="20"/>
        </w:rPr>
        <w:instrText>Live Activity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13.00</w:instrText>
      </w:r>
      <w:r w:rsidRPr="00E961FE">
        <w:rPr>
          <w:rFonts w:ascii="Verdana" w:hAnsi="Verdana"/>
          <w:bCs/>
          <w:sz w:val="20"/>
          <w:szCs w:val="20"/>
        </w:rPr>
        <w:instrText xml:space="preserve"> </w:instrText>
      </w:r>
      <w:r w:rsidRPr="00E961FE">
        <w:rPr>
          <w:rFonts w:ascii="Verdana" w:hAnsi="Verdana"/>
          <w:bCs/>
          <w:i/>
          <w:iCs/>
          <w:sz w:val="20"/>
          <w:szCs w:val="20"/>
        </w:rPr>
        <w:instrText>AMA PRA Category 1 Credit(s)</w:instrTex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instrText>TM</w:instrText>
      </w:r>
      <w:r w:rsidRPr="00E961FE">
        <w:rPr>
          <w:rFonts w:ascii="Verdana" w:hAnsi="Verdana"/>
          <w:bCs/>
          <w:sz w:val="20"/>
          <w:szCs w:val="20"/>
        </w:rPr>
        <w:instrText xml:space="preserve">.  Physicians should only claim credit commensurate with their participation.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Hartford Healt</w:t>
      </w:r>
      <w:r w:rsidR="00447C78">
        <w:rPr>
          <w:rFonts w:ascii="Verdana" w:hAnsi="Verdana"/>
          <w:bCs/>
          <w:sz w:val="20"/>
          <w:szCs w:val="20"/>
        </w:rPr>
        <w:t>h</w:t>
      </w:r>
      <w:r w:rsidRPr="00E961FE">
        <w:rPr>
          <w:rFonts w:ascii="Verdana" w:hAnsi="Verdana"/>
          <w:bCs/>
          <w:sz w:val="20"/>
          <w:szCs w:val="20"/>
        </w:rPr>
        <w:t xml:space="preserve">care designates this </w:t>
      </w:r>
      <w:r w:rsidRPr="00E961FE">
        <w:rPr>
          <w:rFonts w:ascii="Verdana" w:hAnsi="Verdana"/>
          <w:bCs/>
          <w:noProof/>
          <w:sz w:val="20"/>
          <w:szCs w:val="20"/>
        </w:rPr>
        <w:t>Live Activity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13.00</w:t>
      </w:r>
      <w:r w:rsidRPr="00E961FE">
        <w:rPr>
          <w:rFonts w:ascii="Verdana" w:hAnsi="Verdana"/>
          <w:bCs/>
          <w:sz w:val="20"/>
          <w:szCs w:val="20"/>
        </w:rPr>
        <w:t xml:space="preserve"> </w:t>
      </w:r>
      <w:r w:rsidRPr="00E961FE">
        <w:rPr>
          <w:rFonts w:ascii="Verdana" w:hAnsi="Verdana"/>
          <w:bCs/>
          <w:i/>
          <w:iCs/>
          <w:sz w:val="20"/>
          <w:szCs w:val="20"/>
        </w:rPr>
        <w:t>AMA PRA Category 1 Credit(s)</w:t>
      </w:r>
      <w:r w:rsidRPr="00E961FE">
        <w:rPr>
          <w:rFonts w:ascii="Verdana" w:hAnsi="Verdana"/>
          <w:bCs/>
          <w:i/>
          <w:iCs/>
          <w:sz w:val="20"/>
          <w:szCs w:val="20"/>
          <w:vertAlign w:val="superscript"/>
        </w:rPr>
        <w:t>TM</w:t>
      </w:r>
      <w:r w:rsidRPr="00E961FE">
        <w:rPr>
          <w:rFonts w:ascii="Verdana" w:hAnsi="Verdana"/>
          <w:bCs/>
          <w:sz w:val="20"/>
          <w:szCs w:val="20"/>
        </w:rPr>
        <w:t xml:space="preserve">.  Physicians should only claim credit commensurate with their participation.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13.00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</w:instrText>
      </w:r>
      <w:r w:rsidR="00447C78">
        <w:rPr>
          <w:rFonts w:ascii="Verdana" w:hAnsi="Verdana"/>
          <w:bCs/>
          <w:sz w:val="20"/>
          <w:szCs w:val="20"/>
        </w:rPr>
        <w:instrText xml:space="preserve"> approved</w:instrText>
      </w:r>
      <w:r w:rsidRPr="00E961FE">
        <w:rPr>
          <w:rFonts w:ascii="Verdana" w:hAnsi="Verdana"/>
          <w:bCs/>
          <w:sz w:val="20"/>
          <w:szCs w:val="20"/>
        </w:rPr>
        <w:instrText xml:space="preserve"> for </w:instrText>
      </w:r>
      <w:r w:rsidRPr="00E961FE">
        <w:rPr>
          <w:rFonts w:ascii="Verdana" w:hAnsi="Verdana"/>
          <w:bCs/>
          <w:noProof/>
          <w:sz w:val="20"/>
          <w:szCs w:val="20"/>
        </w:rPr>
        <w:instrText>13.00</w:instrText>
      </w:r>
      <w:r w:rsidRPr="00E961FE">
        <w:rPr>
          <w:rFonts w:ascii="Verdana" w:hAnsi="Verdana"/>
          <w:bCs/>
          <w:sz w:val="20"/>
          <w:szCs w:val="20"/>
        </w:rPr>
        <w:instrText xml:space="preserve"> ANCC contact hour(s).  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t>This activity is</w:t>
      </w:r>
      <w:r w:rsidR="00447C78">
        <w:rPr>
          <w:rFonts w:ascii="Verdana" w:hAnsi="Verdana"/>
          <w:bCs/>
          <w:sz w:val="20"/>
          <w:szCs w:val="20"/>
        </w:rPr>
        <w:t xml:space="preserve"> approved</w:t>
      </w:r>
      <w:r w:rsidRPr="00E961FE">
        <w:rPr>
          <w:rFonts w:ascii="Verdana" w:hAnsi="Verdana"/>
          <w:bCs/>
          <w:sz w:val="20"/>
          <w:szCs w:val="20"/>
        </w:rPr>
        <w:t xml:space="preserve"> for </w:t>
      </w:r>
      <w:r w:rsidRPr="00E961FE">
        <w:rPr>
          <w:rFonts w:ascii="Verdana" w:hAnsi="Verdana"/>
          <w:bCs/>
          <w:noProof/>
          <w:sz w:val="20"/>
          <w:szCs w:val="20"/>
        </w:rPr>
        <w:t>13.00</w:t>
      </w:r>
      <w:r w:rsidRPr="00E961FE">
        <w:rPr>
          <w:rFonts w:ascii="Verdana" w:hAnsi="Verdana"/>
          <w:bCs/>
          <w:sz w:val="20"/>
          <w:szCs w:val="20"/>
        </w:rPr>
        <w:t xml:space="preserve"> ANCC contact hour(s).  </w: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IF </w:instrText>
      </w:r>
      <w:r w:rsidR="00447C78">
        <w:rPr>
          <w:rFonts w:ascii="Verdana" w:hAnsi="Verdana"/>
          <w:bCs/>
          <w:noProof/>
          <w:sz w:val="20"/>
          <w:szCs w:val="20"/>
        </w:rPr>
        <w:instrText>0.00</w:instrText>
      </w:r>
      <w:r w:rsidRPr="00E961FE">
        <w:rPr>
          <w:rFonts w:ascii="Verdana" w:hAnsi="Verdana"/>
          <w:bCs/>
          <w:sz w:val="20"/>
          <w:szCs w:val="20"/>
        </w:rPr>
        <w:instrText xml:space="preserve"> &gt; 0 "This activity is approved for </w:instrText>
      </w:r>
      <w:r w:rsidRPr="00E961FE">
        <w:rPr>
          <w:rFonts w:ascii="Verdana" w:hAnsi="Verdana"/>
          <w:bCs/>
          <w:sz w:val="20"/>
          <w:szCs w:val="20"/>
        </w:rPr>
        <w:fldChar w:fldCharType="begin"/>
      </w:r>
      <w:r w:rsidRPr="00E961FE">
        <w:rPr>
          <w:rFonts w:ascii="Verdana" w:hAnsi="Verdana"/>
          <w:bCs/>
          <w:sz w:val="20"/>
          <w:szCs w:val="20"/>
        </w:rPr>
        <w:instrText xml:space="preserve"> MERGEFIELD  ACPEHoursMax  \* MERGEFORMAT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noProof/>
          <w:sz w:val="20"/>
          <w:szCs w:val="20"/>
        </w:rPr>
        <w:instrText>«ACPEHoursMax»</w:instrText>
      </w:r>
      <w:r w:rsidRPr="00E961FE">
        <w:rPr>
          <w:rFonts w:ascii="Verdana" w:hAnsi="Verdana"/>
          <w:bCs/>
          <w:sz w:val="20"/>
          <w:szCs w:val="20"/>
        </w:rPr>
        <w:fldChar w:fldCharType="end"/>
      </w:r>
      <w:r w:rsidRPr="00E961FE">
        <w:rPr>
          <w:rFonts w:ascii="Verdana" w:hAnsi="Verdana"/>
          <w:bCs/>
          <w:sz w:val="20"/>
          <w:szCs w:val="20"/>
        </w:rPr>
        <w:instrText xml:space="preserve"> ACPE contact hour(s)." "" </w:instrText>
      </w:r>
      <w:r w:rsidRPr="00E961FE">
        <w:rPr>
          <w:rFonts w:ascii="Verdana" w:hAnsi="Verdana"/>
          <w:bCs/>
          <w:sz w:val="20"/>
          <w:szCs w:val="20"/>
        </w:rPr>
        <w:fldChar w:fldCharType="separate"/>
      </w:r>
      <w:r w:rsidRPr="00E961FE">
        <w:rPr>
          <w:rFonts w:ascii="Verdana" w:hAnsi="Verdana"/>
          <w:bCs/>
          <w:sz w:val="20"/>
          <w:szCs w:val="20"/>
        </w:rPr>
        <w:fldChar w:fldCharType="end"/>
      </w:r>
    </w:p>
    <w:p w:rsidR="00E961FE" w:rsidRPr="00E961FE" w:rsidP="0030050C">
      <w:pPr>
        <w:tabs>
          <w:tab w:val="left" w:pos="1530"/>
          <w:tab w:val="left" w:pos="10058"/>
        </w:tabs>
        <w:ind w:right="-1278"/>
        <w:rPr>
          <w:sz w:val="16"/>
        </w:rPr>
      </w:pPr>
    </w:p>
    <w:p w:rsidR="00E961FE" w:rsidRPr="00E961FE" w:rsidP="00E961FE">
      <w:pPr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E961FE">
        <w:rPr>
          <w:rFonts w:ascii="Verdana" w:hAnsi="Verdana"/>
          <w:b/>
          <w:sz w:val="20"/>
          <w:szCs w:val="20"/>
        </w:rPr>
        <w:t>Financial Disclosure: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3"/>
        <w:gridCol w:w="3213"/>
        <w:gridCol w:w="4284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Andrew E Caputo, MD, ABOS, CAQ ASSH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Charles Cassidy,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Myrick,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Augustus D Mazzocca,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consultant-Arthrex|Consulting Fee-Restor3D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Frank Alberta,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Arun Ramappa,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Evan O'Donnell,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Sethi,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Cory Edgar,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Joseph DeAngelis,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Brandon Earp,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Arciero,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Fee-ConMed|Grant or research support-Arthrex - 09/17/2024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 J Warner,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Fehnel,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Neal Chen,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Tolo, MD, FAAOS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Dyer,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etc.-orthopediatrics - 10/07/2024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Jacob Kirsch,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Fee-DJO Incorporated - 09/17/2024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Kyle Flik,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 Nissen,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Hervay Kimball,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Arnold Alqueza,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Bassem 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Waters,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Kuhn,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Samuel Taylor,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E961FE" w:rsidRPr="00E961FE">
      <w:pPr>
        <w:rPr>
          <w:rFonts w:ascii="Verdana" w:hAnsi="Verdana"/>
          <w:color w:val="505150"/>
          <w:sz w:val="18"/>
          <w:szCs w:val="20"/>
        </w:rPr>
      </w:pPr>
    </w:p>
    <w:p w:rsidR="005A6F92" w:rsidP="0030050C">
      <w:pPr>
        <w:tabs>
          <w:tab w:val="left" w:pos="1530"/>
          <w:tab w:val="left" w:pos="10058"/>
        </w:tabs>
        <w:ind w:right="-1278"/>
      </w:pPr>
      <w:r>
        <w:rPr>
          <w:rFonts w:ascii="Verdana" w:eastAsia="Times New Roman" w:hAnsi="Verdana"/>
          <w:b/>
          <w:noProof/>
          <w:sz w:val="16"/>
          <w:szCs w:val="1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ge">
              <wp:posOffset>8568267</wp:posOffset>
            </wp:positionV>
            <wp:extent cx="1456055" cy="998855"/>
            <wp:effectExtent l="0" t="0" r="0" b="0"/>
            <wp:wrapNone/>
            <wp:docPr id="6" name="Picture 6" descr="C:\Users\dgartley\AppData\Local\Microsoft\Windows\INetCache\Content.Word\Jointly_Accredited_Provide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gartley\AppData\Local\Microsoft\Windows\INetCache\Content.Word\Jointly_Accredited_Provider_P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Sect="0039016A">
      <w:footerReference w:type="default" r:id="rId6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42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-766445</wp:posOffset>
          </wp:positionV>
          <wp:extent cx="1823844" cy="775889"/>
          <wp:effectExtent l="0" t="0" r="508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HC_4C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844" cy="775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6609E6"/>
    <w:multiLevelType w:val="hybridMultilevel"/>
    <w:tmpl w:val="C262B4C0"/>
    <w:lvl w:ilvl="0">
      <w:start w:val="1"/>
      <w:numFmt w:val="decimal"/>
      <w:lvlText w:val="%1."/>
      <w:lvlJc w:val="left"/>
      <w:pPr>
        <w:ind w:left="99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EmbedSmartTags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7C2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64"/>
    <w:rPr>
      <w:sz w:val="24"/>
      <w:szCs w:val="24"/>
    </w:rPr>
  </w:style>
  <w:style w:type="character" w:styleId="Hyperlink">
    <w:name w:val="Hyperlink"/>
    <w:uiPriority w:val="99"/>
    <w:unhideWhenUsed/>
    <w:rsid w:val="007D5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704"/>
    <w:pPr>
      <w:ind w:left="720"/>
      <w:contextualSpacing/>
    </w:pPr>
    <w:rPr>
      <w:rFonts w:ascii="Cambria" w:eastAsia="MS Mincho" w:hAnsi="Cambria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32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AFEFC-1E82-4360-B3CC-E594416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Millard</cp:lastModifiedBy>
  <cp:revision>6</cp:revision>
  <cp:lastPrinted>2020-08-05T18:15:00Z</cp:lastPrinted>
  <dcterms:created xsi:type="dcterms:W3CDTF">2020-10-23T14:11:00Z</dcterms:created>
  <dcterms:modified xsi:type="dcterms:W3CDTF">2021-11-02T20:32:00Z</dcterms:modified>
</cp:coreProperties>
</file>