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5D2A16" w:rsidRPr="009838F7" w:rsidP="0030050C">
      <w:pPr>
        <w:jc w:val="center"/>
        <w:rPr>
          <w:rFonts w:ascii="Verdana" w:hAnsi="Verdana"/>
          <w:b/>
          <w:color w:val="D2492A"/>
          <w:sz w:val="36"/>
        </w:rPr>
      </w:pPr>
      <w:r>
        <w:t xml:space="preserve"> </w:t>
      </w:r>
      <w:r w:rsidR="00447C78">
        <w:rPr>
          <w:rFonts w:ascii="Verdana" w:hAnsi="Verdana"/>
          <w:b/>
          <w:noProof/>
          <w:color w:val="D2492A"/>
          <w:sz w:val="52"/>
        </w:rPr>
        <w:t>1st Annual</w:t>
      </w:r>
      <w:r>
        <w:rPr>
          <w:rFonts w:ascii="Verdana" w:hAnsi="Verdana"/>
          <w:b/>
          <w:color w:val="D2492A"/>
          <w:sz w:val="52"/>
        </w:rPr>
        <w:t xml:space="preserve"> Hartford HealthCare Heart &amp; Vascular Institute Cardiology Advanced Practice Provider Conference</w:t>
      </w:r>
    </w:p>
    <w:p w:rsidR="005D2A16" w:rsidRPr="00B93FCE" w:rsidP="0030050C">
      <w:pPr>
        <w:jc w:val="center"/>
        <w:rPr>
          <w:rFonts w:ascii="Verdana" w:hAnsi="Verdana"/>
          <w:color w:val="000000" w:themeColor="text1"/>
          <w:sz w:val="6"/>
          <w:szCs w:val="12"/>
        </w:rPr>
      </w:pPr>
    </w:p>
    <w:p w:rsidR="005D2A16" w:rsidP="0030050C">
      <w:pPr>
        <w:jc w:val="center"/>
        <w:rPr>
          <w:rFonts w:ascii="Lucida Handwriting" w:hAnsi="Lucida Handwriting"/>
          <w:color w:val="000000" w:themeColor="text1"/>
          <w:sz w:val="16"/>
          <w:szCs w:val="12"/>
        </w:rPr>
      </w:pPr>
      <w:r w:rsidRPr="009838F7">
        <w:rPr>
          <w:rFonts w:ascii="Lucida Handwriting" w:hAnsi="Lucida Handwriting"/>
          <w:color w:val="000000" w:themeColor="text1"/>
          <w:sz w:val="16"/>
          <w:szCs w:val="12"/>
        </w:rPr>
        <w:t>presented by</w:t>
      </w:r>
    </w:p>
    <w:p w:rsidR="005D2A16" w:rsidRPr="00B93FCE" w:rsidP="0030050C">
      <w:pPr>
        <w:jc w:val="center"/>
        <w:rPr>
          <w:rFonts w:ascii="Lucida Handwriting" w:hAnsi="Lucida Handwriting"/>
          <w:color w:val="000000" w:themeColor="text1"/>
          <w:sz w:val="6"/>
          <w:szCs w:val="12"/>
        </w:rPr>
      </w:pPr>
    </w:p>
    <w:p w:rsidR="005D2A16" w:rsidRPr="009838F7" w:rsidP="0030050C">
      <w:pPr>
        <w:jc w:val="center"/>
        <w:rPr>
          <w:rFonts w:ascii="Verdana" w:hAnsi="Verdana"/>
          <w:color w:val="000000" w:themeColor="text1"/>
          <w:sz w:val="4"/>
          <w:szCs w:val="12"/>
        </w:rPr>
      </w:pPr>
    </w:p>
    <w:p w:rsidR="00E961FE" w:rsidP="0030050C">
      <w:pPr>
        <w:jc w:val="center"/>
        <w:rPr>
          <w:rFonts w:ascii="Verdana" w:hAnsi="Verdana"/>
          <w:b/>
          <w:color w:val="D2492A"/>
          <w:sz w:val="36"/>
        </w:rPr>
      </w:pPr>
      <w:r w:rsidR="00447C78">
        <w:rPr>
          <w:rFonts w:ascii="Verdana" w:hAnsi="Verdana"/>
          <w:b/>
          <w:noProof/>
          <w:color w:val="D2492A"/>
          <w:sz w:val="36"/>
        </w:rPr>
        <w:t>Monica Cluff</w:t>
      </w:r>
      <w:r>
        <w:rPr>
          <w:rFonts w:ascii="Verdana" w:hAnsi="Verdana"/>
          <w:b/>
          <w:color w:val="D2492A"/>
          <w:sz w:val="36"/>
        </w:rPr>
        <w:t>, APRN; Angel Rentas, APRN; Nicole Hoover, PA; Jillian Kalinchak, APRN; Bethany Kwarta, NP; Daniel Miller, PA-C; Elizabeth Singh, APRN; Leah Chasm-Velasco, APRN; John Horak, PA-C; Deborah Lamarr, APRN</w:t>
      </w:r>
    </w:p>
    <w:p w:rsidR="005D2A16" w:rsidP="0030050C">
      <w:pPr>
        <w:jc w:val="center"/>
        <w:rPr>
          <w:rFonts w:ascii="Verdana" w:hAnsi="Verdana"/>
          <w:b/>
          <w:color w:val="D2492A"/>
          <w:sz w:val="36"/>
        </w:rPr>
      </w:pPr>
      <w:r>
        <w:rPr>
          <w:rFonts w:ascii="Verdana" w:hAnsi="Verdana"/>
          <w:i/>
          <w:color w:val="D2492A"/>
          <w:sz w:val="36"/>
        </w:rPr>
        <w:fldChar w:fldCharType="begin"/>
      </w:r>
      <w:r>
        <w:rPr>
          <w:rFonts w:ascii="Verdana" w:hAnsi="Verdana"/>
          <w:i/>
          <w:color w:val="D2492A"/>
          <w:sz w:val="36"/>
        </w:rPr>
        <w:instrText xml:space="preserve"> IF </w:instrText>
      </w:r>
      <w:r>
        <w:rPr>
          <w:rFonts w:ascii="Verdana" w:hAnsi="Verdana"/>
          <w:i/>
          <w:color w:val="D2492A"/>
          <w:sz w:val="36"/>
        </w:rPr>
        <w:instrText>"</w:instrText>
      </w:r>
      <w:r>
        <w:rPr>
          <w:rFonts w:ascii="Verdana" w:hAnsi="Verdana"/>
          <w:i/>
          <w:color w:val="D2492A"/>
          <w:sz w:val="36"/>
        </w:rPr>
        <w:instrText>"</w:instrText>
      </w:r>
      <w:r>
        <w:rPr>
          <w:rFonts w:ascii="Verdana" w:hAnsi="Verdana"/>
          <w:i/>
          <w:color w:val="D2492A"/>
          <w:sz w:val="36"/>
        </w:rPr>
        <w:instrText xml:space="preserve">  = "" "</w:instrText>
      </w:r>
    </w:p>
    <w:p w:rsidR="005D2A16" w:rsidRPr="00C129C8" w:rsidP="0030050C">
      <w:pPr>
        <w:jc w:val="center"/>
        <w:rPr>
          <w:rFonts w:ascii="Verdana" w:hAnsi="Verdana"/>
          <w:i/>
          <w:color w:val="D2492A"/>
          <w:sz w:val="36"/>
        </w:rPr>
      </w:pPr>
      <w:r>
        <w:rPr>
          <w:rFonts w:ascii="Verdana" w:hAnsi="Verdana"/>
          <w:i/>
          <w:color w:val="D2492A"/>
          <w:sz w:val="36"/>
        </w:rPr>
        <w:instrText xml:space="preserve">" </w:instrText>
      </w:r>
      <w:r>
        <w:rPr>
          <w:rFonts w:ascii="Verdana" w:hAnsi="Verdana"/>
          <w:i/>
          <w:color w:val="D2492A"/>
          <w:sz w:val="36"/>
        </w:rPr>
        <w:fldChar w:fldCharType="separate"/>
      </w:r>
    </w:p>
    <w:p w:rsidP="0030050C">
      <w:pPr>
        <w:jc w:val="center"/>
        <w:rPr>
          <w:rFonts w:ascii="Verdana" w:hAnsi="Verdana"/>
          <w:i/>
          <w:color w:val="D2492A"/>
          <w:sz w:val="36"/>
        </w:rPr>
      </w:pPr>
      <w:r>
        <w:rPr>
          <w:rFonts w:ascii="Verdana" w:hAnsi="Verdana"/>
          <w:i/>
          <w:color w:val="D2492A"/>
          <w:sz w:val="36"/>
        </w:rPr>
        <w:fldChar w:fldCharType="end"/>
      </w:r>
    </w:p>
    <w:p w:rsidR="005D2A16" w:rsidRPr="007D5704" w:rsidP="0030050C">
      <w:pPr>
        <w:spacing w:line="276" w:lineRule="auto"/>
        <w:jc w:val="center"/>
        <w:rPr>
          <w:rFonts w:ascii="Verdana" w:hAnsi="Verdana"/>
          <w:b/>
          <w:sz w:val="32"/>
          <w:szCs w:val="19"/>
        </w:rPr>
      </w:pPr>
      <w:r w:rsidR="00447C78">
        <w:rPr>
          <w:rFonts w:ascii="Verdana" w:hAnsi="Verdana"/>
          <w:b/>
          <w:noProof/>
          <w:sz w:val="32"/>
          <w:szCs w:val="19"/>
        </w:rPr>
        <w:t xml:space="preserve">Friday, </w:t>
      </w:r>
      <w:r>
        <w:rPr>
          <w:rFonts w:ascii="Verdana" w:hAnsi="Verdana"/>
          <w:b/>
          <w:sz w:val="32"/>
          <w:szCs w:val="19"/>
        </w:rPr>
        <w:t>October 6, 2023</w:t>
      </w:r>
    </w:p>
    <w:p w:rsidR="00E961FE" w:rsidP="0030050C">
      <w:pPr>
        <w:spacing w:line="276" w:lineRule="auto"/>
        <w:jc w:val="center"/>
        <w:rPr>
          <w:rFonts w:ascii="Verdana" w:hAnsi="Verdana"/>
          <w:b/>
          <w:sz w:val="32"/>
          <w:szCs w:val="19"/>
        </w:rPr>
      </w:pPr>
      <w:r w:rsidR="00447C78">
        <w:rPr>
          <w:rFonts w:ascii="Verdana" w:hAnsi="Verdana"/>
          <w:b/>
          <w:noProof/>
          <w:sz w:val="32"/>
          <w:szCs w:val="19"/>
        </w:rPr>
        <w:t>8:00</w:t>
      </w:r>
      <w:r>
        <w:rPr>
          <w:rFonts w:ascii="Verdana" w:hAnsi="Verdana"/>
          <w:b/>
          <w:sz w:val="32"/>
          <w:szCs w:val="19"/>
        </w:rPr>
        <w:t xml:space="preserve"> AM</w:t>
      </w:r>
    </w:p>
    <w:p w:rsidR="005D2A16" w:rsidRPr="00E961FE" w:rsidP="0030050C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  <w:r w:rsidR="00447C78">
        <w:rPr>
          <w:rFonts w:ascii="Verdana" w:hAnsi="Verdana"/>
          <w:b/>
          <w:noProof/>
          <w:sz w:val="32"/>
          <w:szCs w:val="32"/>
        </w:rPr>
        <w:t>Hartford Hospital</w:t>
      </w:r>
      <w:r>
        <w:rPr>
          <w:rFonts w:ascii="Verdana" w:hAnsi="Verdana"/>
          <w:b/>
          <w:sz w:val="32"/>
          <w:szCs w:val="32"/>
        </w:rPr>
        <w:t>, Heublein Hall</w:t>
      </w:r>
      <w:r w:rsidRPr="00E961FE">
        <w:rPr>
          <w:rFonts w:ascii="Verdana" w:hAnsi="Verdana"/>
          <w:b/>
          <w:sz w:val="32"/>
          <w:szCs w:val="32"/>
        </w:rPr>
        <w:fldChar w:fldCharType="begin"/>
      </w:r>
      <w:r w:rsidRPr="00E961FE">
        <w:rPr>
          <w:rFonts w:ascii="Verdana" w:hAnsi="Verdana"/>
          <w:b/>
          <w:sz w:val="32"/>
          <w:szCs w:val="32"/>
        </w:rPr>
        <w:instrText xml:space="preserve"> IF </w:instrText>
      </w:r>
      <w:r w:rsidR="00447C78">
        <w:rPr>
          <w:rFonts w:ascii="Verdana" w:hAnsi="Verdana"/>
          <w:b/>
          <w:noProof/>
          <w:sz w:val="32"/>
          <w:szCs w:val="32"/>
        </w:rPr>
        <w:instrText>"</w:instrText>
      </w:r>
      <w:r w:rsidR="00447C78">
        <w:rPr>
          <w:rFonts w:ascii="Verdana" w:hAnsi="Verdana"/>
          <w:b/>
          <w:noProof/>
          <w:sz w:val="32"/>
          <w:szCs w:val="32"/>
        </w:rPr>
        <w:instrText>Hartford Hospital</w:instrText>
      </w:r>
      <w:r w:rsidRPr="00E961FE">
        <w:rPr>
          <w:rFonts w:ascii="Verdana" w:hAnsi="Verdana"/>
          <w:b/>
          <w:sz w:val="32"/>
          <w:szCs w:val="32"/>
        </w:rPr>
        <w:instrText>, Heublein Hall</w:instrText>
      </w:r>
      <w:r w:rsidRPr="00E961FE">
        <w:rPr>
          <w:rFonts w:ascii="Verdana" w:hAnsi="Verdana"/>
          <w:b/>
          <w:sz w:val="32"/>
          <w:szCs w:val="32"/>
        </w:rPr>
        <w:instrText>"</w:instrText>
      </w:r>
      <w:r w:rsidRPr="00E961FE">
        <w:rPr>
          <w:rFonts w:ascii="Verdana" w:hAnsi="Verdana"/>
          <w:b/>
          <w:sz w:val="32"/>
          <w:szCs w:val="32"/>
        </w:rPr>
        <w:instrText xml:space="preserve"> = "" "" "</w:instrText>
      </w:r>
    </w:p>
    <w:p w:rsidR="00447C78" w:rsidRPr="00E961FE" w:rsidP="0030050C">
      <w:pPr>
        <w:spacing w:line="276" w:lineRule="auto"/>
        <w:jc w:val="center"/>
        <w:rPr>
          <w:rFonts w:ascii="Verdana" w:hAnsi="Verdana"/>
          <w:b/>
          <w:noProof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instrText>Hartford Hospital</w:instrText>
      </w:r>
      <w:r w:rsidRPr="00E961FE">
        <w:rPr>
          <w:rFonts w:ascii="Verdana" w:hAnsi="Verdana"/>
          <w:b/>
          <w:sz w:val="32"/>
          <w:szCs w:val="32"/>
        </w:rPr>
        <w:instrText>, Heublein Hall</w:instrText>
      </w:r>
      <w:r w:rsidRPr="00E961FE">
        <w:rPr>
          <w:rFonts w:ascii="Verdana" w:hAnsi="Verdana"/>
          <w:b/>
          <w:sz w:val="32"/>
          <w:szCs w:val="32"/>
        </w:rPr>
        <w:instrText xml:space="preserve">" </w:instrText>
      </w:r>
      <w:r>
        <w:rPr>
          <w:rFonts w:ascii="Verdana" w:hAnsi="Verdana"/>
          <w:b/>
          <w:sz w:val="32"/>
          <w:szCs w:val="32"/>
        </w:rPr>
        <w:fldChar w:fldCharType="separate"/>
      </w:r>
    </w:p>
    <w:p w:rsidR="005D2A16" w:rsidRPr="00E961FE" w:rsidP="0030050C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  <w:r w:rsidR="00447C78">
        <w:rPr>
          <w:rFonts w:ascii="Verdana" w:hAnsi="Verdana"/>
          <w:b/>
          <w:noProof/>
          <w:sz w:val="32"/>
          <w:szCs w:val="32"/>
        </w:rPr>
        <w:t>Hartford Hospital</w:t>
      </w:r>
      <w:r w:rsidRPr="00E961FE">
        <w:rPr>
          <w:rFonts w:ascii="Verdana" w:hAnsi="Verdana"/>
          <w:b/>
          <w:sz w:val="32"/>
          <w:szCs w:val="32"/>
        </w:rPr>
        <w:t>, Heublein Hall</w:t>
      </w:r>
      <w:r w:rsidRPr="00E961FE">
        <w:rPr>
          <w:rFonts w:ascii="Verdana" w:hAnsi="Verdana"/>
          <w:b/>
          <w:sz w:val="32"/>
          <w:szCs w:val="32"/>
        </w:rPr>
        <w:fldChar w:fldCharType="end"/>
      </w:r>
    </w:p>
    <w:p w:rsidR="005D2A16" w:rsidRPr="009838F7" w:rsidP="0030050C">
      <w:pPr>
        <w:spacing w:line="276" w:lineRule="auto"/>
        <w:rPr>
          <w:rFonts w:ascii="Verdana" w:hAnsi="Verdana"/>
          <w:sz w:val="20"/>
          <w:szCs w:val="22"/>
          <w:vertAlign w:val="superscript"/>
        </w:rPr>
      </w:pPr>
    </w:p>
    <w:p w:rsidR="005D2A16" w:rsidP="0030050C">
      <w:pPr>
        <w:rPr>
          <w:rFonts w:ascii="Verdana" w:hAnsi="Verdana"/>
          <w:i/>
          <w:iCs/>
          <w:color w:val="0098C3"/>
        </w:rPr>
      </w:pPr>
    </w:p>
    <w:p w:rsidR="005D2A16" w:rsidP="0030050C">
      <w:pPr>
        <w:rPr>
          <w:rFonts w:ascii="Verdana" w:hAnsi="Verdana"/>
          <w:i/>
          <w:szCs w:val="26"/>
        </w:rPr>
      </w:pPr>
      <w:r w:rsidRPr="009838F7">
        <w:rPr>
          <w:rFonts w:ascii="Verdana" w:hAnsi="Verdana"/>
          <w:b/>
          <w:szCs w:val="26"/>
        </w:rPr>
        <w:t>Learning Objectives:</w:t>
      </w:r>
      <w:r w:rsidRPr="009838F7">
        <w:rPr>
          <w:rFonts w:ascii="Verdana" w:hAnsi="Verdana"/>
          <w:szCs w:val="26"/>
        </w:rPr>
        <w:t xml:space="preserve">  </w:t>
      </w:r>
      <w:r w:rsidRPr="009838F7">
        <w:rPr>
          <w:rFonts w:ascii="Verdana" w:hAnsi="Verdana"/>
          <w:i/>
          <w:szCs w:val="26"/>
        </w:rPr>
        <w:t xml:space="preserve">As a result of participating in this </w:t>
      </w:r>
      <w:r w:rsidR="00447C78">
        <w:rPr>
          <w:rFonts w:ascii="Verdana" w:hAnsi="Verdana"/>
          <w:i/>
          <w:noProof/>
          <w:szCs w:val="26"/>
        </w:rPr>
        <w:t>Live Activity</w:t>
      </w:r>
      <w:r w:rsidRPr="009838F7">
        <w:rPr>
          <w:rFonts w:ascii="Verdana" w:hAnsi="Verdana"/>
          <w:i/>
          <w:szCs w:val="26"/>
        </w:rPr>
        <w:t>, participants should be able to:</w:t>
      </w:r>
    </w:p>
    <w:p w:rsidR="005D2A16" w:rsidRPr="00052A60" w:rsidP="00E961FE">
      <w:pPr>
        <w:ind w:left="720"/>
        <w:rPr>
          <w:rFonts w:ascii="Verdana" w:hAnsi="Verdana"/>
          <w:i/>
          <w:szCs w:val="26"/>
        </w:rPr>
      </w:pPr>
      <w:r w:rsidR="00447C78">
        <w:rPr>
          <w:rFonts w:ascii="Verdana" w:hAnsi="Verdana"/>
          <w:i/>
          <w:noProof/>
          <w:szCs w:val="26"/>
        </w:rPr>
        <w:t>1 Identify</w:t>
      </w:r>
      <w:r>
        <w:rPr>
          <w:rFonts w:ascii="Verdana" w:hAnsi="Verdana"/>
          <w:i/>
          <w:szCs w:val="26"/>
        </w:rPr>
        <w:t xml:space="preserve"> abnormal EKG patterns that require further assessment and intervention</w:t>
      </w:r>
    </w:p>
    <w:p w:rsidP="00E961FE">
      <w:pPr>
        <w:ind w:left="720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1 Compare temporary and permanent pacing device modalities</w:t>
      </w:r>
    </w:p>
    <w:p w:rsidP="00E961FE">
      <w:pPr>
        <w:ind w:left="720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1 Stage cardiogenic shock</w:t>
      </w:r>
    </w:p>
    <w:p w:rsidP="00E961FE">
      <w:pPr>
        <w:ind w:left="720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2 Review chest pain as it relates to troponin evaluation in the setting of acute myocardial infarction</w:t>
      </w:r>
    </w:p>
    <w:p w:rsidP="00E961FE">
      <w:pPr>
        <w:ind w:left="720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2 Review the transcatheter aortic valve implantation (TAVI) process and the pathophysiology of post-operative heart block</w:t>
      </w:r>
    </w:p>
    <w:p w:rsidP="00E961FE">
      <w:pPr>
        <w:ind w:left="720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4 Discuss differentials of hypotension and the use of point of care ultrasound (POCUS)</w:t>
      </w:r>
    </w:p>
    <w:p w:rsidR="005D2A16" w:rsidRPr="00052A60" w:rsidP="00E961FE">
      <w:pPr>
        <w:ind w:left="720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6 Follow recommended treatment pathways for cardiogenic shock</w:t>
      </w:r>
    </w:p>
    <w:p w:rsidR="005D2A16" w:rsidRPr="00C93D3E" w:rsidP="0030050C">
      <w:pPr>
        <w:jc w:val="center"/>
        <w:rPr>
          <w:rFonts w:ascii="Verdana" w:hAnsi="Verdana"/>
          <w:color w:val="D2492A"/>
          <w:sz w:val="28"/>
        </w:rPr>
      </w:pPr>
    </w:p>
    <w:p w:rsidR="005D2A16" w:rsidRPr="00E961FE" w:rsidP="0030050C">
      <w:pPr>
        <w:ind w:right="-45"/>
        <w:rPr>
          <w:sz w:val="20"/>
          <w:szCs w:val="20"/>
        </w:rPr>
      </w:pPr>
    </w:p>
    <w:p w:rsidR="005D2A16" w:rsidRPr="00E961FE" w:rsidP="0030050C">
      <w:pPr>
        <w:ind w:right="-45"/>
        <w:rPr>
          <w:rFonts w:ascii="Verdana" w:eastAsia="Times New Roman" w:hAnsi="Verdana"/>
          <w:sz w:val="20"/>
          <w:szCs w:val="20"/>
        </w:rPr>
      </w:pPr>
      <w:r w:rsidRPr="00E961FE">
        <w:rPr>
          <w:rFonts w:ascii="Verdana" w:hAnsi="Verdana"/>
          <w:b/>
          <w:sz w:val="20"/>
          <w:szCs w:val="20"/>
        </w:rPr>
        <w:t xml:space="preserve">Accreditation Statement:  </w:t>
      </w:r>
      <w:r w:rsidRPr="00E961FE">
        <w:rPr>
          <w:rFonts w:ascii="Verdana" w:eastAsia="Times New Roman" w:hAnsi="Verdana"/>
          <w:sz w:val="20"/>
          <w:szCs w:val="20"/>
        </w:rPr>
        <w:t>In support of improving patient care, Hartford HealthCare is jointly accredited by the Accreditation Council for Continuing Medical Education (ACCME), the Accreditation Council for Pharmacy Education (ACPE), and the American Nur</w:t>
      </w:r>
      <w:r w:rsidR="009A3E9A">
        <w:rPr>
          <w:rFonts w:ascii="Verdana" w:eastAsia="Times New Roman" w:hAnsi="Verdana"/>
          <w:sz w:val="20"/>
          <w:szCs w:val="20"/>
        </w:rPr>
        <w:t>ses Credentialing Center (ANCC)</w:t>
      </w:r>
      <w:r w:rsidRPr="00E961FE">
        <w:rPr>
          <w:rFonts w:ascii="Verdana" w:eastAsia="Times New Roman" w:hAnsi="Verdana"/>
          <w:sz w:val="20"/>
          <w:szCs w:val="20"/>
        </w:rPr>
        <w:t xml:space="preserve"> to provide continuing education for the healthcare team.</w:t>
      </w:r>
    </w:p>
    <w:p w:rsidR="005D2A16" w:rsidRPr="00E961FE" w:rsidP="0030050C">
      <w:pPr>
        <w:ind w:right="-45"/>
        <w:rPr>
          <w:rFonts w:ascii="Verdana" w:eastAsia="Times New Roman" w:hAnsi="Verdana"/>
          <w:sz w:val="16"/>
          <w:szCs w:val="20"/>
        </w:rPr>
      </w:pPr>
    </w:p>
    <w:p w:rsidR="005D2A16" w:rsidRPr="00E961FE" w:rsidP="0030050C">
      <w:pPr>
        <w:ind w:right="-45"/>
        <w:rPr>
          <w:rFonts w:ascii="Verdana" w:hAnsi="Verdana"/>
          <w:bCs/>
          <w:sz w:val="20"/>
          <w:szCs w:val="20"/>
        </w:rPr>
      </w:pPr>
      <w:r w:rsidRPr="00E961FE">
        <w:rPr>
          <w:rFonts w:ascii="Verdana" w:hAnsi="Verdana"/>
          <w:b/>
          <w:sz w:val="20"/>
          <w:szCs w:val="20"/>
        </w:rPr>
        <w:t xml:space="preserve">Credit Designation Statement:  </w:t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0.00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"This activity was planned by and for the healthcare team, and learners will receive </w:instrText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MERGEFIELD  IPCEHoursMax  \* MERGEFORMAT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noProof/>
          <w:sz w:val="20"/>
          <w:szCs w:val="20"/>
        </w:rPr>
        <w:instrText>«IPCEHoursMax»</w:instrTex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instrText xml:space="preserve"> Interprofessional Continuing Education(IPCE) credit for learning and change.  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6.75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"Hartford Healt</w:instrText>
      </w:r>
      <w:r w:rsidR="00447C78">
        <w:rPr>
          <w:rFonts w:ascii="Verdana" w:hAnsi="Verdana"/>
          <w:bCs/>
          <w:sz w:val="20"/>
          <w:szCs w:val="20"/>
        </w:rPr>
        <w:instrText>h</w:instrText>
      </w:r>
      <w:r w:rsidRPr="00E961FE">
        <w:rPr>
          <w:rFonts w:ascii="Verdana" w:hAnsi="Verdana"/>
          <w:bCs/>
          <w:sz w:val="20"/>
          <w:szCs w:val="20"/>
        </w:rPr>
        <w:instrText xml:space="preserve">care designates this </w:instrText>
      </w:r>
      <w:r w:rsidRPr="00E961FE">
        <w:rPr>
          <w:rFonts w:ascii="Verdana" w:hAnsi="Verdana"/>
          <w:bCs/>
          <w:noProof/>
          <w:sz w:val="20"/>
          <w:szCs w:val="20"/>
        </w:rPr>
        <w:instrText>Live Activity</w:instrText>
      </w:r>
      <w:r w:rsidRPr="00E961FE">
        <w:rPr>
          <w:rFonts w:ascii="Verdana" w:hAnsi="Verdana"/>
          <w:bCs/>
          <w:sz w:val="20"/>
          <w:szCs w:val="20"/>
        </w:rPr>
        <w:instrText xml:space="preserve"> for </w:instrText>
      </w:r>
      <w:r w:rsidRPr="00E961FE">
        <w:rPr>
          <w:rFonts w:ascii="Verdana" w:hAnsi="Verdana"/>
          <w:bCs/>
          <w:noProof/>
          <w:sz w:val="20"/>
          <w:szCs w:val="20"/>
        </w:rPr>
        <w:instrText>6.75</w:instrText>
      </w:r>
      <w:r w:rsidRPr="00E961FE">
        <w:rPr>
          <w:rFonts w:ascii="Verdana" w:hAnsi="Verdana"/>
          <w:bCs/>
          <w:sz w:val="20"/>
          <w:szCs w:val="20"/>
        </w:rPr>
        <w:instrText xml:space="preserve"> </w:instrText>
      </w:r>
      <w:r w:rsidRPr="00E961FE">
        <w:rPr>
          <w:rFonts w:ascii="Verdana" w:hAnsi="Verdana"/>
          <w:bCs/>
          <w:i/>
          <w:iCs/>
          <w:sz w:val="20"/>
          <w:szCs w:val="20"/>
        </w:rPr>
        <w:instrText>AMA PRA Category 1 Credit(s)</w:instrText>
      </w:r>
      <w:r w:rsidRPr="00E961FE">
        <w:rPr>
          <w:rFonts w:ascii="Verdana" w:hAnsi="Verdana"/>
          <w:bCs/>
          <w:i/>
          <w:iCs/>
          <w:sz w:val="20"/>
          <w:szCs w:val="20"/>
          <w:vertAlign w:val="superscript"/>
        </w:rPr>
        <w:instrText>TM</w:instrText>
      </w:r>
      <w:r w:rsidRPr="00E961FE">
        <w:rPr>
          <w:rFonts w:ascii="Verdana" w:hAnsi="Verdana"/>
          <w:bCs/>
          <w:sz w:val="20"/>
          <w:szCs w:val="20"/>
        </w:rPr>
        <w:instrText xml:space="preserve">.  Physicians should only claim credit commensurate with their participation.  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t>Hartford Healt</w:t>
      </w:r>
      <w:r w:rsidR="00447C78">
        <w:rPr>
          <w:rFonts w:ascii="Verdana" w:hAnsi="Verdana"/>
          <w:bCs/>
          <w:sz w:val="20"/>
          <w:szCs w:val="20"/>
        </w:rPr>
        <w:t>h</w:t>
      </w:r>
      <w:r w:rsidRPr="00E961FE">
        <w:rPr>
          <w:rFonts w:ascii="Verdana" w:hAnsi="Verdana"/>
          <w:bCs/>
          <w:sz w:val="20"/>
          <w:szCs w:val="20"/>
        </w:rPr>
        <w:t xml:space="preserve">care designates this </w:t>
      </w:r>
      <w:r w:rsidRPr="00E961FE">
        <w:rPr>
          <w:rFonts w:ascii="Verdana" w:hAnsi="Verdana"/>
          <w:bCs/>
          <w:noProof/>
          <w:sz w:val="20"/>
          <w:szCs w:val="20"/>
        </w:rPr>
        <w:t>Live Activity</w:t>
      </w:r>
      <w:r w:rsidRPr="00E961FE">
        <w:rPr>
          <w:rFonts w:ascii="Verdana" w:hAnsi="Verdana"/>
          <w:bCs/>
          <w:sz w:val="20"/>
          <w:szCs w:val="20"/>
        </w:rPr>
        <w:t xml:space="preserve"> for </w:t>
      </w:r>
      <w:r w:rsidRPr="00E961FE">
        <w:rPr>
          <w:rFonts w:ascii="Verdana" w:hAnsi="Verdana"/>
          <w:bCs/>
          <w:noProof/>
          <w:sz w:val="20"/>
          <w:szCs w:val="20"/>
        </w:rPr>
        <w:t>6.75</w:t>
      </w:r>
      <w:r w:rsidRPr="00E961FE">
        <w:rPr>
          <w:rFonts w:ascii="Verdana" w:hAnsi="Verdana"/>
          <w:bCs/>
          <w:sz w:val="20"/>
          <w:szCs w:val="20"/>
        </w:rPr>
        <w:t xml:space="preserve"> </w:t>
      </w:r>
      <w:r w:rsidRPr="00E961FE">
        <w:rPr>
          <w:rFonts w:ascii="Verdana" w:hAnsi="Verdana"/>
          <w:bCs/>
          <w:i/>
          <w:iCs/>
          <w:sz w:val="20"/>
          <w:szCs w:val="20"/>
        </w:rPr>
        <w:t>AMA PRA Category 1 Credit(s)</w:t>
      </w:r>
      <w:r w:rsidRPr="00E961FE">
        <w:rPr>
          <w:rFonts w:ascii="Verdana" w:hAnsi="Verdana"/>
          <w:bCs/>
          <w:i/>
          <w:iCs/>
          <w:sz w:val="20"/>
          <w:szCs w:val="20"/>
          <w:vertAlign w:val="superscript"/>
        </w:rPr>
        <w:t>TM</w:t>
      </w:r>
      <w:r w:rsidRPr="00E961FE">
        <w:rPr>
          <w:rFonts w:ascii="Verdana" w:hAnsi="Verdana"/>
          <w:bCs/>
          <w:sz w:val="20"/>
          <w:szCs w:val="20"/>
        </w:rPr>
        <w:t xml:space="preserve">.  Physicians should only claim credit commensurate with their participation.  </w: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6.75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"This activity is</w:instrText>
      </w:r>
      <w:r w:rsidR="00447C78">
        <w:rPr>
          <w:rFonts w:ascii="Verdana" w:hAnsi="Verdana"/>
          <w:bCs/>
          <w:sz w:val="20"/>
          <w:szCs w:val="20"/>
        </w:rPr>
        <w:instrText xml:space="preserve"> approved</w:instrText>
      </w:r>
      <w:r w:rsidRPr="00E961FE">
        <w:rPr>
          <w:rFonts w:ascii="Verdana" w:hAnsi="Verdana"/>
          <w:bCs/>
          <w:sz w:val="20"/>
          <w:szCs w:val="20"/>
        </w:rPr>
        <w:instrText xml:space="preserve"> for </w:instrText>
      </w:r>
      <w:r w:rsidRPr="00E961FE">
        <w:rPr>
          <w:rFonts w:ascii="Verdana" w:hAnsi="Verdana"/>
          <w:bCs/>
          <w:noProof/>
          <w:sz w:val="20"/>
          <w:szCs w:val="20"/>
        </w:rPr>
        <w:instrText>6.75</w:instrText>
      </w:r>
      <w:r w:rsidRPr="00E961FE">
        <w:rPr>
          <w:rFonts w:ascii="Verdana" w:hAnsi="Verdana"/>
          <w:bCs/>
          <w:sz w:val="20"/>
          <w:szCs w:val="20"/>
        </w:rPr>
        <w:instrText xml:space="preserve"> ANCC contact hour(s).  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t>This activity is</w:t>
      </w:r>
      <w:r w:rsidR="00447C78">
        <w:rPr>
          <w:rFonts w:ascii="Verdana" w:hAnsi="Verdana"/>
          <w:bCs/>
          <w:sz w:val="20"/>
          <w:szCs w:val="20"/>
        </w:rPr>
        <w:t xml:space="preserve"> approved</w:t>
      </w:r>
      <w:r w:rsidRPr="00E961FE">
        <w:rPr>
          <w:rFonts w:ascii="Verdana" w:hAnsi="Verdana"/>
          <w:bCs/>
          <w:sz w:val="20"/>
          <w:szCs w:val="20"/>
        </w:rPr>
        <w:t xml:space="preserve"> for </w:t>
      </w:r>
      <w:r w:rsidRPr="00E961FE">
        <w:rPr>
          <w:rFonts w:ascii="Verdana" w:hAnsi="Verdana"/>
          <w:bCs/>
          <w:noProof/>
          <w:sz w:val="20"/>
          <w:szCs w:val="20"/>
        </w:rPr>
        <w:t>6.75</w:t>
      </w:r>
      <w:r w:rsidRPr="00E961FE">
        <w:rPr>
          <w:rFonts w:ascii="Verdana" w:hAnsi="Verdana"/>
          <w:bCs/>
          <w:sz w:val="20"/>
          <w:szCs w:val="20"/>
        </w:rPr>
        <w:t xml:space="preserve"> ANCC contact hour(s).  </w: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0.00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"This activity is approved for </w:instrText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MERGEFIELD  ACPEHoursMax  \* MERGEFORMAT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noProof/>
          <w:sz w:val="20"/>
          <w:szCs w:val="20"/>
        </w:rPr>
        <w:instrText>«ACPEHoursMax»</w:instrTex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instrText xml:space="preserve"> ACPE contact hour(s)."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fldChar w:fldCharType="end"/>
      </w:r>
    </w:p>
    <w:p w:rsidR="00E961FE" w:rsidRPr="00E961FE" w:rsidP="0030050C">
      <w:pPr>
        <w:tabs>
          <w:tab w:val="left" w:pos="1530"/>
          <w:tab w:val="left" w:pos="10058"/>
        </w:tabs>
        <w:ind w:right="-1278"/>
        <w:rPr>
          <w:sz w:val="16"/>
        </w:rPr>
      </w:pPr>
    </w:p>
    <w:p w:rsidR="00E961FE" w:rsidRPr="00E961FE" w:rsidP="00E961FE">
      <w:pPr>
        <w:spacing w:line="276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E961FE">
        <w:rPr>
          <w:rFonts w:ascii="Verdana" w:hAnsi="Verdana"/>
          <w:b/>
          <w:sz w:val="20"/>
          <w:szCs w:val="20"/>
        </w:rPr>
        <w:t>Financial Disclosure: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3"/>
        <w:gridCol w:w="3213"/>
        <w:gridCol w:w="4284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Carolyn B Martindale, APRN, MSN, ACNP-BC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Administrator, Co-Director, 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 Rentas,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Monica Cluff,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Chasm-Velasco,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Nicole Hoover, PA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Horak, PA-C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Jillian Kalinchak,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Bethany Kwarta, 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Deborah Lamarr,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 Miller, PA-C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Singh,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- 04/13/2023</w:t>
            </w:r>
          </w:p>
        </w:tc>
      </w:tr>
    </w:tbl>
    <w:p w:rsidR="00E961FE" w:rsidRPr="00E961FE">
      <w:pPr>
        <w:bidi w:val="0"/>
        <w:spacing w:after="280" w:afterAutospacing="1"/>
        <w:rPr>
          <w:rFonts w:ascii="Verdana" w:hAnsi="Verdana"/>
          <w:color w:val="505150"/>
          <w:sz w:val="18"/>
          <w:szCs w:val="20"/>
        </w:rPr>
      </w:pPr>
    </w:p>
    <w:p w:rsidR="005A6F92" w:rsidP="0030050C">
      <w:pPr>
        <w:tabs>
          <w:tab w:val="left" w:pos="1530"/>
          <w:tab w:val="left" w:pos="10058"/>
        </w:tabs>
        <w:ind w:right="-1278"/>
      </w:pPr>
      <w:r>
        <w:rPr>
          <w:rFonts w:ascii="Verdana" w:eastAsia="Times New Roman" w:hAnsi="Verdana"/>
          <w:b/>
          <w:noProof/>
          <w:sz w:val="16"/>
          <w:szCs w:val="1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215900</wp:posOffset>
            </wp:positionH>
            <wp:positionV relativeFrom="page">
              <wp:posOffset>8568267</wp:posOffset>
            </wp:positionV>
            <wp:extent cx="1456055" cy="998855"/>
            <wp:effectExtent l="0" t="0" r="0" b="0"/>
            <wp:wrapNone/>
            <wp:docPr id="6" name="Picture 6" descr="C:\Users\dgartley\AppData\Local\Microsoft\Windows\INetCache\Content.Word\Jointly_Accredited_Provider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gartley\AppData\Local\Microsoft\Windows\INetCache\Content.Word\Jointly_Accredited_Provider_P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Sect="0039016A">
      <w:footerReference w:type="default" r:id="rId6"/>
      <w:pgSz w:w="12240" w:h="15840"/>
      <w:pgMar w:top="720" w:right="720" w:bottom="720" w:left="720" w:header="720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42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-766445</wp:posOffset>
          </wp:positionV>
          <wp:extent cx="1823844" cy="775889"/>
          <wp:effectExtent l="0" t="0" r="508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C_4C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844" cy="775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6609E6"/>
    <w:multiLevelType w:val="hybridMultilevel"/>
    <w:tmpl w:val="C262B4C0"/>
    <w:lvl w:ilvl="0">
      <w:start w:val="1"/>
      <w:numFmt w:val="decimal"/>
      <w:lvlText w:val="%1."/>
      <w:lvlJc w:val="left"/>
      <w:pPr>
        <w:ind w:left="99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doNotTrackMove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EmbedSmartTags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smallFrac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7C2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9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964"/>
    <w:rPr>
      <w:sz w:val="24"/>
      <w:szCs w:val="24"/>
    </w:rPr>
  </w:style>
  <w:style w:type="character" w:styleId="Hyperlink">
    <w:name w:val="Hyperlink"/>
    <w:uiPriority w:val="99"/>
    <w:unhideWhenUsed/>
    <w:rsid w:val="007D57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704"/>
    <w:pPr>
      <w:ind w:left="720"/>
      <w:contextualSpacing/>
    </w:pPr>
    <w:rPr>
      <w:rFonts w:ascii="Cambria" w:eastAsia="MS Mincho" w:hAnsi="Cambria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323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AFEFC-1E82-4360-B3CC-E5944168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Tim Millard</cp:lastModifiedBy>
  <cp:revision>6</cp:revision>
  <cp:lastPrinted>2020-08-05T18:15:00Z</cp:lastPrinted>
  <dcterms:created xsi:type="dcterms:W3CDTF">2020-10-23T14:11:00Z</dcterms:created>
  <dcterms:modified xsi:type="dcterms:W3CDTF">2021-11-02T20:32:00Z</dcterms:modified>
</cp:coreProperties>
</file>