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861D0E" w:rsidP="00437B0D">
      <w:pPr>
        <w:rPr>
          <w:rFonts w:ascii="Verdana" w:hAnsi="Verdana"/>
          <w:b/>
          <w:color w:val="0098C3"/>
        </w:rPr>
      </w:pPr>
      <w:r w:rsidRPr="00861D0E">
        <w:rPr>
          <w:rFonts w:ascii="Verdana" w:hAnsi="Verdana"/>
          <w:noProof/>
          <w:color w:val="0098C3"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96520</wp:posOffset>
            </wp:positionV>
            <wp:extent cx="1823844" cy="775889"/>
            <wp:effectExtent l="0" t="0" r="508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HC_4C.eps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844" cy="775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7FD" w:rsidP="00437B0D">
      <w:pPr>
        <w:rPr>
          <w:rFonts w:ascii="Verdana" w:hAnsi="Verdana"/>
          <w:color w:val="0098C3"/>
          <w:sz w:val="36"/>
          <w:szCs w:val="36"/>
        </w:rPr>
      </w:pPr>
    </w:p>
    <w:p w:rsidR="0027514F" w:rsidRPr="0033717B" w:rsidP="00437B0D">
      <w:pPr>
        <w:rPr>
          <w:rFonts w:ascii="Caecilia LT Pro 45 Light" w:hAnsi="Caecilia LT Pro 45 Light"/>
          <w:b/>
          <w:color w:val="0098C3"/>
          <w:sz w:val="44"/>
          <w:szCs w:val="36"/>
        </w:rPr>
      </w:pPr>
      <w:r w:rsidRPr="0033717B">
        <w:rPr>
          <w:rFonts w:ascii="Caecilia LT Pro 45 Light" w:hAnsi="Caecilia LT Pro 45 Light"/>
          <w:b/>
          <w:noProof/>
          <w:color w:val="0098C3"/>
          <w:sz w:val="44"/>
          <w:szCs w:val="36"/>
        </w:rPr>
        <w:t>The Hartford</w:t>
      </w:r>
      <w:r w:rsidRPr="0033717B">
        <w:rPr>
          <w:rFonts w:ascii="Caecilia LT Pro 45 Light" w:hAnsi="Caecilia LT Pro 45 Light"/>
          <w:b/>
          <w:color w:val="0098C3"/>
          <w:sz w:val="44"/>
          <w:szCs w:val="36"/>
        </w:rPr>
        <w:t xml:space="preserve"> Talks (2023)</w:t>
      </w:r>
    </w:p>
    <w:p w:rsidR="0027514F" w:rsidP="0030050C">
      <w:pPr>
        <w:jc w:val="center"/>
      </w:pPr>
    </w:p>
    <w:p w:rsidR="00A7012A" w:rsidP="0030050C">
      <w:pPr>
        <w:jc w:val="center"/>
      </w:pPr>
    </w:p>
    <w:p w:rsidR="003B1799" w:rsidRPr="003B1799" w:rsidP="0030050C">
      <w:pPr>
        <w:jc w:val="center"/>
        <w:rPr>
          <w:rFonts w:ascii="Verdana" w:hAnsi="Verdana"/>
          <w:b/>
          <w:color w:val="D2492A"/>
          <w:sz w:val="12"/>
        </w:rPr>
      </w:pPr>
    </w:p>
    <w:p w:rsidR="005D2A16" w:rsidRPr="00804456" w:rsidP="0030050C">
      <w:pPr>
        <w:jc w:val="center"/>
        <w:rPr>
          <w:rFonts w:ascii="Verdana" w:hAnsi="Verdana"/>
          <w:b/>
          <w:i/>
          <w:color w:val="D2492A"/>
          <w:sz w:val="36"/>
        </w:rPr>
      </w:pPr>
      <w:r w:rsidRPr="00804456">
        <w:rPr>
          <w:rFonts w:ascii="Verdana" w:hAnsi="Verdana"/>
          <w:b/>
          <w:i/>
          <w:noProof/>
          <w:color w:val="D2492A"/>
          <w:sz w:val="52"/>
        </w:rPr>
        <w:t>From Frailty</w:t>
      </w:r>
      <w:r w:rsidRPr="00804456">
        <w:rPr>
          <w:rFonts w:ascii="Verdana" w:hAnsi="Verdana"/>
          <w:b/>
          <w:i/>
          <w:color w:val="D2492A"/>
          <w:sz w:val="52"/>
        </w:rPr>
        <w:t xml:space="preserve"> to Resilience: Improving Outcomes for Vulnerable Older Adults with Cancer</w:t>
      </w:r>
    </w:p>
    <w:p w:rsidR="005D2A16" w:rsidRPr="0033717B" w:rsidP="0030050C">
      <w:pPr>
        <w:jc w:val="center"/>
        <w:rPr>
          <w:rFonts w:ascii="Lucida Handwriting" w:hAnsi="Lucida Handwriting"/>
          <w:color w:val="000000" w:themeColor="text1"/>
          <w:sz w:val="6"/>
          <w:szCs w:val="12"/>
        </w:rPr>
      </w:pPr>
    </w:p>
    <w:p w:rsidR="005D2A16" w:rsidRPr="0033717B" w:rsidP="0030050C">
      <w:pPr>
        <w:jc w:val="center"/>
        <w:rPr>
          <w:rFonts w:ascii="Lucida Handwriting" w:hAnsi="Lucida Handwriting"/>
          <w:color w:val="000000" w:themeColor="text1"/>
          <w:sz w:val="18"/>
          <w:szCs w:val="12"/>
        </w:rPr>
      </w:pPr>
      <w:r w:rsidRPr="0033717B">
        <w:rPr>
          <w:rFonts w:ascii="Lucida Handwriting" w:hAnsi="Lucida Handwriting"/>
          <w:color w:val="000000" w:themeColor="text1"/>
          <w:sz w:val="18"/>
          <w:szCs w:val="12"/>
        </w:rPr>
        <w:t>presented by</w:t>
      </w:r>
    </w:p>
    <w:p w:rsidR="005D2A16" w:rsidRPr="00022CCB" w:rsidP="0030050C">
      <w:pPr>
        <w:jc w:val="center"/>
        <w:rPr>
          <w:rFonts w:ascii="Verdana" w:hAnsi="Verdana"/>
          <w:color w:val="000000" w:themeColor="text1"/>
          <w:sz w:val="6"/>
          <w:szCs w:val="12"/>
        </w:rPr>
      </w:pPr>
    </w:p>
    <w:p w:rsidR="0066082F" w:rsidRPr="00905AC1" w:rsidP="0030050C">
      <w:pPr>
        <w:jc w:val="center"/>
        <w:rPr>
          <w:rFonts w:ascii="Verdana" w:hAnsi="Verdana"/>
          <w:b/>
          <w:i/>
          <w:color w:val="D2492A"/>
          <w:sz w:val="52"/>
        </w:rPr>
      </w:pPr>
      <w:r w:rsidRPr="00905AC1">
        <w:rPr>
          <w:rFonts w:ascii="Verdana" w:hAnsi="Verdana"/>
          <w:b/>
          <w:i/>
          <w:noProof/>
          <w:color w:val="D2492A"/>
          <w:sz w:val="52"/>
        </w:rPr>
        <w:t>Heidi Klepin</w:t>
      </w:r>
      <w:r w:rsidRPr="00905AC1">
        <w:rPr>
          <w:rFonts w:ascii="Verdana" w:hAnsi="Verdana"/>
          <w:b/>
          <w:i/>
          <w:color w:val="D2492A"/>
          <w:sz w:val="52"/>
        </w:rPr>
        <w:t>, MD</w:t>
      </w:r>
    </w:p>
    <w:p w:rsidR="00905AC1" w:rsidRPr="00861D0E" w:rsidP="0030050C">
      <w:pPr>
        <w:jc w:val="center"/>
        <w:rPr>
          <w:rFonts w:ascii="Verdana" w:hAnsi="Verdana"/>
          <w:b/>
          <w:color w:val="D2492A"/>
        </w:rPr>
      </w:pPr>
    </w:p>
    <w:p w:rsidR="005D2A16" w:rsidRPr="00022CCB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b/>
          <w:noProof/>
          <w:sz w:val="32"/>
          <w:szCs w:val="32"/>
        </w:rPr>
        <w:t>7/18</w:t>
      </w:r>
      <w:r>
        <w:rPr>
          <w:rFonts w:ascii="Verdana" w:hAnsi="Verdana"/>
          <w:b/>
          <w:sz w:val="32"/>
          <w:szCs w:val="32"/>
        </w:rPr>
        <w:t>/2023 1:00:00 PM</w:t>
      </w:r>
      <w:r w:rsidRPr="00022CCB">
        <w:rPr>
          <w:rFonts w:ascii="Verdana" w:hAnsi="Verdana"/>
          <w:i/>
          <w:color w:val="D2492A"/>
          <w:sz w:val="36"/>
        </w:rPr>
        <w:fldChar w:fldCharType="begin"/>
      </w:r>
      <w:r w:rsidRPr="00022CCB">
        <w:rPr>
          <w:rFonts w:ascii="Verdana" w:hAnsi="Verdana"/>
          <w:i/>
          <w:color w:val="D2492A"/>
          <w:sz w:val="36"/>
        </w:rPr>
        <w:instrText xml:space="preserve"> IF </w:instrText>
      </w:r>
      <w:r w:rsidRPr="00022CCB">
        <w:rPr>
          <w:rFonts w:ascii="Verdana" w:hAnsi="Verdana"/>
          <w:i/>
          <w:noProof/>
          <w:color w:val="D2492A"/>
          <w:sz w:val="36"/>
        </w:rPr>
        <w:instrText>Professor</w:instrText>
      </w:r>
      <w:r w:rsidRPr="00022CCB">
        <w:rPr>
          <w:rFonts w:ascii="Verdana" w:hAnsi="Verdana"/>
          <w:i/>
          <w:color w:val="D2492A"/>
          <w:sz w:val="36"/>
        </w:rPr>
        <w:instrText xml:space="preserve">  = "" "</w:instrText>
      </w:r>
    </w:p>
    <w:p w:rsidR="005D2A16" w:rsidRPr="00022CCB" w:rsidP="0030050C">
      <w:pPr>
        <w:jc w:val="center"/>
        <w:rPr>
          <w:rFonts w:ascii="Verdana" w:hAnsi="Verdana"/>
          <w:i/>
          <w:color w:val="D2492A"/>
          <w:sz w:val="36"/>
        </w:rPr>
      </w:pPr>
      <w:r w:rsidRPr="00022CCB">
        <w:rPr>
          <w:rFonts w:ascii="Verdana" w:hAnsi="Verdana"/>
          <w:i/>
          <w:color w:val="D2492A"/>
          <w:sz w:val="36"/>
        </w:rPr>
        <w:fldChar w:fldCharType="begin"/>
      </w:r>
      <w:r w:rsidRPr="00022CCB">
        <w:rPr>
          <w:rFonts w:ascii="Verdana" w:hAnsi="Verdana"/>
          <w:i/>
          <w:color w:val="D2492A"/>
          <w:sz w:val="36"/>
        </w:rPr>
        <w:instrText xml:space="preserve"> MERGEFIELD  ProfessionalTitle  \* MERGEFORMAT </w:instrText>
      </w:r>
      <w:r w:rsidRPr="00022CCB">
        <w:rPr>
          <w:rFonts w:ascii="Verdana" w:hAnsi="Verdana"/>
          <w:i/>
          <w:color w:val="D2492A"/>
          <w:sz w:val="36"/>
        </w:rPr>
        <w:fldChar w:fldCharType="separate"/>
      </w:r>
      <w:r w:rsidRPr="00022CCB">
        <w:rPr>
          <w:rFonts w:ascii="Verdana" w:hAnsi="Verdana"/>
          <w:i/>
          <w:noProof/>
          <w:color w:val="D2492A"/>
          <w:sz w:val="36"/>
        </w:rPr>
        <w:instrText>«ProfessionalTitle»</w:instrText>
      </w:r>
      <w:r w:rsidRPr="00022CCB">
        <w:rPr>
          <w:rFonts w:ascii="Verdana" w:hAnsi="Verdana"/>
          <w:i/>
          <w:color w:val="D2492A"/>
          <w:sz w:val="36"/>
        </w:rPr>
        <w:fldChar w:fldCharType="end"/>
      </w:r>
      <w:r w:rsidRPr="00022CCB">
        <w:rPr>
          <w:rFonts w:ascii="Verdana" w:hAnsi="Verdana"/>
          <w:i/>
          <w:color w:val="D2492A"/>
          <w:sz w:val="36"/>
        </w:rPr>
        <w:instrText xml:space="preserve">" </w:instrText>
      </w:r>
      <w:r w:rsidRPr="00022CCB">
        <w:rPr>
          <w:rFonts w:ascii="Verdana" w:hAnsi="Verdana"/>
          <w:i/>
          <w:color w:val="D2492A"/>
          <w:sz w:val="36"/>
        </w:rPr>
        <w:fldChar w:fldCharType="separate"/>
      </w:r>
      <w:r w:rsidRPr="00022CCB">
        <w:rPr>
          <w:rFonts w:ascii="Verdana" w:hAnsi="Verdana"/>
          <w:i/>
          <w:color w:val="D2492A"/>
          <w:sz w:val="36"/>
        </w:rPr>
        <w:fldChar w:fldCharType="end"/>
      </w:r>
    </w:p>
    <w:p w:rsidR="00A02A76" w:rsidP="00A02A7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t>Https:/</w:t>
      </w:r>
      <w:r>
        <w:rPr>
          <w:rFonts w:ascii="Verdana" w:hAnsi="Verdana"/>
          <w:b/>
          <w:sz w:val="32"/>
          <w:szCs w:val="32"/>
        </w:rPr>
        <w:t>/hartfordhealthcare.zoom.us/j/95789226086</w:t>
      </w:r>
    </w:p>
    <w:p w:rsidR="005D2A16" w:rsidP="00A02A76">
      <w:pPr>
        <w:jc w:val="center"/>
        <w:rPr>
          <w:rFonts w:ascii="Verdana" w:hAnsi="Verdana"/>
          <w:b/>
          <w:sz w:val="32"/>
          <w:szCs w:val="32"/>
        </w:rPr>
      </w:pPr>
    </w:p>
    <w:p w:rsidR="00A02A76" w:rsidRPr="00022CCB" w:rsidP="00A02A76">
      <w:pPr>
        <w:jc w:val="center"/>
        <w:rPr>
          <w:rFonts w:ascii="Verdana" w:hAnsi="Verdana"/>
          <w:i/>
          <w:iCs/>
          <w:color w:val="0098C3"/>
        </w:rPr>
      </w:pPr>
    </w:p>
    <w:p w:rsidR="00820D37" w:rsidRPr="00022CCB" w:rsidP="00820D37">
      <w:pPr>
        <w:rPr>
          <w:rFonts w:ascii="Verdana" w:hAnsi="Verdana"/>
          <w:i/>
          <w:szCs w:val="26"/>
        </w:rPr>
      </w:pPr>
      <w:r w:rsidRPr="00022CCB">
        <w:rPr>
          <w:rFonts w:ascii="Verdana" w:hAnsi="Verdana"/>
          <w:b/>
          <w:szCs w:val="26"/>
        </w:rPr>
        <w:fldChar w:fldCharType="begin"/>
      </w:r>
      <w:r w:rsidRPr="00022CCB">
        <w:rPr>
          <w:rFonts w:ascii="Verdana" w:hAnsi="Verdana"/>
          <w:b/>
          <w:szCs w:val="26"/>
        </w:rPr>
        <w:instrText xml:space="preserve">IF </w:instrText>
      </w:r>
      <w:r w:rsidRPr="00022CCB">
        <w:rPr>
          <w:rFonts w:ascii="Verdana" w:hAnsi="Verdana"/>
          <w:b/>
          <w:noProof/>
          <w:szCs w:val="26"/>
        </w:rPr>
        <w:instrText>"</w:instrText>
      </w:r>
      <w:r w:rsidRPr="00022CCB">
        <w:rPr>
          <w:rFonts w:ascii="Verdana" w:hAnsi="Verdana"/>
          <w:b/>
          <w:noProof/>
          <w:szCs w:val="26"/>
        </w:rPr>
        <w:instrText>1 Apply</w:instrText>
      </w:r>
      <w:r w:rsidRPr="00022CCB">
        <w:rPr>
          <w:rFonts w:ascii="Verdana" w:hAnsi="Verdana"/>
          <w:b/>
          <w:szCs w:val="26"/>
        </w:rPr>
        <w:instrText xml:space="preserve"> geriatric assessment and best practice interventions to ensure quality and safe care for the older adult with cancer</w:instrText>
      </w:r>
    </w:p>
    <w:p w:rsidRPr="00022CCB" w:rsidP="00820D37">
      <w:pPr>
        <w:rPr>
          <w:rFonts w:ascii="Verdana" w:hAnsi="Verdana"/>
          <w:b/>
          <w:szCs w:val="26"/>
        </w:rPr>
      </w:pPr>
      <w:r w:rsidRPr="00022CCB">
        <w:rPr>
          <w:rFonts w:ascii="Verdana" w:hAnsi="Verdana"/>
          <w:b/>
          <w:szCs w:val="26"/>
        </w:rPr>
        <w:instrText>1 List the role of the inter-professional team in supporting the older adult with cancer</w:instrText>
      </w:r>
    </w:p>
    <w:p w:rsidRPr="00022CCB" w:rsidP="00820D37">
      <w:pPr>
        <w:rPr>
          <w:rFonts w:ascii="Verdana" w:hAnsi="Verdana"/>
          <w:b/>
          <w:szCs w:val="26"/>
        </w:rPr>
      </w:pPr>
      <w:r w:rsidRPr="00022CCB">
        <w:rPr>
          <w:rFonts w:ascii="Verdana" w:hAnsi="Verdana"/>
          <w:b/>
          <w:szCs w:val="26"/>
        </w:rPr>
        <w:instrText>3 Describe methods for measuring frailty</w:instrText>
      </w:r>
    </w:p>
    <w:p w:rsidRPr="00022CCB" w:rsidP="00820D37">
      <w:pPr>
        <w:rPr>
          <w:rFonts w:ascii="Verdana" w:hAnsi="Verdana"/>
          <w:b/>
          <w:szCs w:val="26"/>
        </w:rPr>
      </w:pPr>
      <w:r w:rsidRPr="00022CCB">
        <w:rPr>
          <w:rFonts w:ascii="Verdana" w:hAnsi="Verdana"/>
          <w:b/>
          <w:szCs w:val="26"/>
        </w:rPr>
        <w:instrText>4 Recognize the associations between frailty and clinical outcomes in oncology</w:instrText>
      </w:r>
    </w:p>
    <w:p w:rsidR="00820D37" w:rsidRPr="00022CCB" w:rsidP="00820D37">
      <w:pPr>
        <w:rPr>
          <w:rFonts w:ascii="Verdana" w:hAnsi="Verdana"/>
          <w:i/>
          <w:szCs w:val="26"/>
        </w:rPr>
      </w:pPr>
      <w:r w:rsidRPr="00022CCB">
        <w:rPr>
          <w:rFonts w:ascii="Verdana" w:hAnsi="Verdana"/>
          <w:b/>
          <w:szCs w:val="26"/>
        </w:rPr>
        <w:instrText>5 Identify interventions to mitigate the negative consequences of frailty during oncology treatment</w:instrText>
      </w:r>
      <w:r w:rsidRPr="00022CCB">
        <w:rPr>
          <w:rFonts w:ascii="Verdana" w:hAnsi="Verdana"/>
          <w:b/>
          <w:szCs w:val="26"/>
        </w:rPr>
        <w:instrText>"</w:instrText>
      </w:r>
      <w:r w:rsidRPr="00022CCB">
        <w:rPr>
          <w:rFonts w:ascii="Verdana" w:hAnsi="Verdana"/>
          <w:b/>
          <w:szCs w:val="26"/>
        </w:rPr>
        <w:instrText xml:space="preserve"> = "" "" "Learning Objectives:</w:instrText>
      </w:r>
      <w:r w:rsidRPr="00022CCB">
        <w:rPr>
          <w:rFonts w:ascii="Verdana" w:hAnsi="Verdana"/>
          <w:szCs w:val="26"/>
        </w:rPr>
        <w:instrText xml:space="preserve">  </w:instrText>
      </w:r>
      <w:r w:rsidRPr="00022CCB">
        <w:rPr>
          <w:rFonts w:ascii="Verdana" w:hAnsi="Verdana"/>
          <w:i/>
          <w:szCs w:val="26"/>
        </w:rPr>
        <w:instrText xml:space="preserve">As a result of participating in this </w:instrText>
      </w:r>
      <w:r w:rsidRPr="00022CCB">
        <w:rPr>
          <w:rFonts w:ascii="Verdana" w:hAnsi="Verdana"/>
          <w:i/>
          <w:noProof/>
          <w:szCs w:val="26"/>
        </w:rPr>
        <w:instrText>Live Activity</w:instrText>
      </w:r>
      <w:r w:rsidRPr="00022CCB">
        <w:rPr>
          <w:rFonts w:ascii="Verdana" w:hAnsi="Verdana"/>
          <w:i/>
          <w:szCs w:val="26"/>
        </w:rPr>
        <w:instrText>, participants should be able to:</w:instrText>
      </w:r>
    </w:p>
    <w:p w:rsidR="00820D37" w:rsidRPr="00022CCB" w:rsidP="00820D37">
      <w:pPr>
        <w:rPr>
          <w:rFonts w:ascii="Verdana" w:hAnsi="Verdana"/>
          <w:i/>
          <w:szCs w:val="26"/>
        </w:rPr>
      </w:pPr>
    </w:p>
    <w:p w:rsidR="00820D37" w:rsidRPr="00022CCB" w:rsidP="00820D37">
      <w:pPr>
        <w:rPr>
          <w:rFonts w:ascii="Verdana" w:hAnsi="Verdana"/>
          <w:i/>
          <w:noProof/>
          <w:szCs w:val="26"/>
        </w:rPr>
      </w:pPr>
      <w:r w:rsidRPr="00022CCB">
        <w:rPr>
          <w:rFonts w:ascii="Verdana" w:hAnsi="Verdana"/>
          <w:i/>
          <w:noProof/>
          <w:szCs w:val="26"/>
        </w:rPr>
        <w:instrText>1 Apply</w:instrText>
      </w:r>
      <w:r w:rsidRPr="00022CCB">
        <w:rPr>
          <w:rFonts w:ascii="Verdana" w:hAnsi="Verdana"/>
          <w:i/>
          <w:szCs w:val="26"/>
        </w:rPr>
        <w:instrText xml:space="preserve"> geriatric assessment and best practice interventions to ensure quality and safe care for the older adult with cancer</w:instrText>
      </w:r>
    </w:p>
    <w:p w:rsidRPr="00022CCB" w:rsidP="00820D37">
      <w:pPr>
        <w:rPr>
          <w:rFonts w:ascii="Verdana" w:hAnsi="Verdana"/>
          <w:i/>
          <w:szCs w:val="26"/>
        </w:rPr>
      </w:pPr>
      <w:r w:rsidRPr="00022CCB">
        <w:rPr>
          <w:rFonts w:ascii="Verdana" w:hAnsi="Verdana"/>
          <w:i/>
          <w:szCs w:val="26"/>
        </w:rPr>
        <w:instrText>1 List the role of the inter-professional team in supporting the older adult with cancer</w:instrText>
      </w:r>
    </w:p>
    <w:p w:rsidRPr="00022CCB" w:rsidP="00820D37">
      <w:pPr>
        <w:rPr>
          <w:rFonts w:ascii="Verdana" w:hAnsi="Verdana"/>
          <w:i/>
          <w:szCs w:val="26"/>
        </w:rPr>
      </w:pPr>
      <w:r w:rsidRPr="00022CCB">
        <w:rPr>
          <w:rFonts w:ascii="Verdana" w:hAnsi="Verdana"/>
          <w:i/>
          <w:szCs w:val="26"/>
        </w:rPr>
        <w:instrText>3 Describe methods for measuring frailty</w:instrText>
      </w:r>
    </w:p>
    <w:p w:rsidRPr="00022CCB" w:rsidP="00820D37">
      <w:pPr>
        <w:rPr>
          <w:rFonts w:ascii="Verdana" w:hAnsi="Verdana"/>
          <w:i/>
          <w:szCs w:val="26"/>
        </w:rPr>
      </w:pPr>
      <w:r w:rsidRPr="00022CCB">
        <w:rPr>
          <w:rFonts w:ascii="Verdana" w:hAnsi="Verdana"/>
          <w:i/>
          <w:szCs w:val="26"/>
        </w:rPr>
        <w:instrText>4 Recognize the associations between frailty and clinical outcomes in oncology</w:instrText>
      </w:r>
    </w:p>
    <w:p w:rsidR="00820D37" w:rsidRPr="00022CCB" w:rsidP="00820D37">
      <w:pPr>
        <w:rPr>
          <w:rFonts w:ascii="Verdana" w:hAnsi="Verdana"/>
          <w:i/>
          <w:noProof/>
          <w:szCs w:val="26"/>
        </w:rPr>
      </w:pPr>
      <w:r w:rsidRPr="00022CCB">
        <w:rPr>
          <w:rFonts w:ascii="Verdana" w:hAnsi="Verdana"/>
          <w:i/>
          <w:szCs w:val="26"/>
        </w:rPr>
        <w:instrText>5 Identify interventions to mitigate the negative consequences of frailty during oncology treatment</w:instrText>
      </w:r>
      <w:r w:rsidRPr="00022CCB">
        <w:rPr>
          <w:rFonts w:ascii="Verdana" w:hAnsi="Verdana"/>
          <w:b/>
          <w:szCs w:val="26"/>
        </w:rPr>
        <w:instrText>"</w:instrText>
      </w:r>
      <w:r w:rsidRPr="00022CCB">
        <w:rPr>
          <w:rFonts w:ascii="Verdana" w:hAnsi="Verdana"/>
          <w:b/>
          <w:szCs w:val="26"/>
        </w:rPr>
        <w:fldChar w:fldCharType="separate"/>
      </w:r>
      <w:r w:rsidRPr="00022CCB">
        <w:rPr>
          <w:rFonts w:ascii="Verdana" w:hAnsi="Verdana"/>
          <w:b/>
          <w:szCs w:val="26"/>
        </w:rPr>
        <w:t>Learning Objectives:</w:t>
      </w:r>
      <w:r w:rsidRPr="00022CCB">
        <w:rPr>
          <w:rFonts w:ascii="Verdana" w:hAnsi="Verdana"/>
          <w:szCs w:val="26"/>
        </w:rPr>
        <w:t xml:space="preserve">  </w:t>
      </w:r>
      <w:r w:rsidRPr="00022CCB">
        <w:rPr>
          <w:rFonts w:ascii="Verdana" w:hAnsi="Verdana"/>
          <w:i/>
          <w:szCs w:val="26"/>
        </w:rPr>
        <w:t xml:space="preserve">As a result of participating in this </w:t>
      </w:r>
      <w:r w:rsidRPr="00022CCB">
        <w:rPr>
          <w:rFonts w:ascii="Verdana" w:hAnsi="Verdana"/>
          <w:i/>
          <w:noProof/>
          <w:szCs w:val="26"/>
        </w:rPr>
        <w:t>Live Activity</w:t>
      </w:r>
      <w:r w:rsidRPr="00022CCB">
        <w:rPr>
          <w:rFonts w:ascii="Verdana" w:hAnsi="Verdana"/>
          <w:i/>
          <w:szCs w:val="26"/>
        </w:rPr>
        <w:t>, participants should be able to:</w:t>
      </w:r>
    </w:p>
    <w:p w:rsidR="00820D37" w:rsidRPr="00022CCB" w:rsidP="00820D37">
      <w:pPr>
        <w:rPr>
          <w:rFonts w:ascii="Verdana" w:hAnsi="Verdana"/>
          <w:i/>
          <w:szCs w:val="26"/>
        </w:rPr>
      </w:pPr>
    </w:p>
    <w:p w:rsidR="00820D37" w:rsidRPr="00022CCB" w:rsidP="00820D37">
      <w:pPr>
        <w:rPr>
          <w:rFonts w:ascii="Verdana" w:hAnsi="Verdana"/>
          <w:i/>
          <w:noProof/>
          <w:szCs w:val="26"/>
        </w:rPr>
      </w:pPr>
      <w:r w:rsidRPr="00022CCB">
        <w:rPr>
          <w:rFonts w:ascii="Verdana" w:hAnsi="Verdana"/>
          <w:i/>
          <w:noProof/>
          <w:szCs w:val="26"/>
        </w:rPr>
        <w:t>1 Apply</w:t>
      </w:r>
      <w:r w:rsidRPr="00022CCB">
        <w:rPr>
          <w:rFonts w:ascii="Verdana" w:hAnsi="Verdana"/>
          <w:i/>
          <w:szCs w:val="26"/>
        </w:rPr>
        <w:t xml:space="preserve"> geriatric assessment and best practice interventions to ensure quality and safe care for the older adult with cancer</w:t>
      </w:r>
    </w:p>
    <w:p w:rsidRPr="00022CCB" w:rsidP="00820D37">
      <w:pPr>
        <w:rPr>
          <w:rFonts w:ascii="Verdana" w:hAnsi="Verdana"/>
          <w:i/>
          <w:szCs w:val="26"/>
        </w:rPr>
      </w:pPr>
      <w:r w:rsidRPr="00022CCB">
        <w:rPr>
          <w:rFonts w:ascii="Verdana" w:hAnsi="Verdana"/>
          <w:i/>
          <w:szCs w:val="26"/>
        </w:rPr>
        <w:t>1 List the role of the inter-professional team in supporting the older adult with cancer</w:t>
      </w:r>
    </w:p>
    <w:p w:rsidRPr="00022CCB" w:rsidP="00820D37">
      <w:pPr>
        <w:rPr>
          <w:rFonts w:ascii="Verdana" w:hAnsi="Verdana"/>
          <w:i/>
          <w:szCs w:val="26"/>
        </w:rPr>
      </w:pPr>
      <w:r w:rsidRPr="00022CCB">
        <w:rPr>
          <w:rFonts w:ascii="Verdana" w:hAnsi="Verdana"/>
          <w:i/>
          <w:szCs w:val="26"/>
        </w:rPr>
        <w:t>3 Describe methods for measuring frailty</w:t>
      </w:r>
    </w:p>
    <w:p w:rsidRPr="00022CCB" w:rsidP="00820D37">
      <w:pPr>
        <w:rPr>
          <w:rFonts w:ascii="Verdana" w:hAnsi="Verdana"/>
          <w:i/>
          <w:szCs w:val="26"/>
        </w:rPr>
      </w:pPr>
      <w:r w:rsidRPr="00022CCB">
        <w:rPr>
          <w:rFonts w:ascii="Verdana" w:hAnsi="Verdana"/>
          <w:i/>
          <w:szCs w:val="26"/>
        </w:rPr>
        <w:t>4 Recognize the associations between frailty and clinical outcomes in oncology</w:t>
      </w:r>
    </w:p>
    <w:p w:rsidRPr="00022CCB" w:rsidP="00820D37">
      <w:pPr>
        <w:rPr>
          <w:rFonts w:ascii="Verdana" w:hAnsi="Verdana"/>
          <w:b/>
          <w:szCs w:val="26"/>
        </w:rPr>
      </w:pPr>
      <w:r w:rsidRPr="00022CCB">
        <w:rPr>
          <w:rFonts w:ascii="Verdana" w:hAnsi="Verdana"/>
          <w:i/>
          <w:szCs w:val="26"/>
        </w:rPr>
        <w:t>5 Identify interventions to mitigate the negative consequences of frailty during oncology treatment</w:t>
      </w:r>
      <w:r w:rsidRPr="00022CCB">
        <w:rPr>
          <w:rFonts w:ascii="Verdana" w:hAnsi="Verdana"/>
          <w:b/>
          <w:szCs w:val="26"/>
        </w:rPr>
        <w:fldChar w:fldCharType="end"/>
      </w:r>
    </w:p>
    <w:p w:rsidR="003B1799" w:rsidRPr="003B1799" w:rsidP="0030050C">
      <w:pPr>
        <w:ind w:right="-45"/>
        <w:rPr>
          <w:rFonts w:ascii="Verdana" w:hAnsi="Verdana"/>
          <w:b/>
          <w:color w:val="0098C3"/>
          <w:sz w:val="22"/>
          <w:szCs w:val="20"/>
        </w:rPr>
      </w:pPr>
    </w:p>
    <w:p w:rsidR="005D2A16" w:rsidRPr="00022CCB" w:rsidP="0030050C">
      <w:pPr>
        <w:ind w:right="-45"/>
        <w:rPr>
          <w:rFonts w:ascii="Verdana" w:eastAsia="Times New Roman" w:hAnsi="Verdana"/>
          <w:sz w:val="20"/>
          <w:szCs w:val="20"/>
        </w:rPr>
      </w:pPr>
      <w:r w:rsidRPr="00022CCB">
        <w:rPr>
          <w:rFonts w:ascii="Verdana" w:hAnsi="Verdana"/>
          <w:b/>
          <w:sz w:val="20"/>
          <w:szCs w:val="20"/>
        </w:rPr>
        <w:t xml:space="preserve">Accreditation Statement:  </w:t>
      </w:r>
      <w:r w:rsidRPr="00022CCB">
        <w:rPr>
          <w:rFonts w:ascii="Verdana" w:eastAsia="Times New Roman" w:hAnsi="Verdana"/>
          <w:sz w:val="20"/>
          <w:szCs w:val="20"/>
        </w:rPr>
        <w:t>In support of improving patient care, Hartford HealthCare is jointly accredited by the Accreditation Council for Continuing Medical Education (ACCME), the Accreditation Council for Pharmacy Education (ACPE), and the American Nur</w:t>
      </w:r>
      <w:r w:rsidRPr="00022CCB" w:rsidR="0066082F">
        <w:rPr>
          <w:rFonts w:ascii="Verdana" w:eastAsia="Times New Roman" w:hAnsi="Verdana"/>
          <w:sz w:val="20"/>
          <w:szCs w:val="20"/>
        </w:rPr>
        <w:t>ses Credentialing Center (ANCC)</w:t>
      </w:r>
      <w:r w:rsidRPr="00022CCB">
        <w:rPr>
          <w:rFonts w:ascii="Verdana" w:eastAsia="Times New Roman" w:hAnsi="Verdana"/>
          <w:sz w:val="20"/>
          <w:szCs w:val="20"/>
        </w:rPr>
        <w:t xml:space="preserve"> to provide continuing education for the healthcare team.</w:t>
      </w:r>
    </w:p>
    <w:p w:rsidR="0066082F" w:rsidRPr="00022CCB" w:rsidP="0030050C">
      <w:pPr>
        <w:ind w:right="-45"/>
        <w:rPr>
          <w:rFonts w:ascii="Verdana" w:hAnsi="Verdana"/>
          <w:b/>
          <w:sz w:val="12"/>
          <w:szCs w:val="20"/>
        </w:rPr>
      </w:pPr>
    </w:p>
    <w:p w:rsidR="005D2A16" w:rsidRPr="00022CCB" w:rsidP="0030050C">
      <w:pPr>
        <w:ind w:right="-45"/>
        <w:rPr>
          <w:rFonts w:ascii="Verdana" w:hAnsi="Verdana"/>
          <w:bCs/>
          <w:sz w:val="20"/>
          <w:szCs w:val="20"/>
        </w:rPr>
      </w:pPr>
      <w:r w:rsidRPr="00022CCB">
        <w:rPr>
          <w:rFonts w:ascii="Verdana" w:hAnsi="Verdana"/>
          <w:b/>
          <w:sz w:val="20"/>
          <w:szCs w:val="20"/>
        </w:rPr>
        <w:t xml:space="preserve">Credit Designation Statement:  </w:t>
      </w:r>
      <w:r w:rsidRPr="00022CCB">
        <w:rPr>
          <w:rFonts w:ascii="Verdana" w:hAnsi="Verdana"/>
          <w:bCs/>
          <w:sz w:val="20"/>
          <w:szCs w:val="20"/>
        </w:rPr>
        <w:fldChar w:fldCharType="begin"/>
      </w:r>
      <w:r w:rsidRPr="00022CCB">
        <w:rPr>
          <w:rFonts w:ascii="Verdana" w:hAnsi="Verdana"/>
          <w:bCs/>
          <w:sz w:val="20"/>
          <w:szCs w:val="20"/>
        </w:rPr>
        <w:instrText xml:space="preserve"> IF </w:instrText>
      </w:r>
      <w:r w:rsidRPr="00022CCB">
        <w:rPr>
          <w:rFonts w:ascii="Verdana" w:hAnsi="Verdana"/>
          <w:bCs/>
          <w:noProof/>
          <w:sz w:val="20"/>
          <w:szCs w:val="20"/>
        </w:rPr>
        <w:instrText>0.00</w:instrText>
      </w:r>
      <w:r w:rsidRPr="00022CCB">
        <w:rPr>
          <w:rFonts w:ascii="Verdana" w:hAnsi="Verdana"/>
          <w:bCs/>
          <w:sz w:val="20"/>
          <w:szCs w:val="20"/>
        </w:rPr>
        <w:instrText xml:space="preserve"> &gt; 0 "This activity was planned by and for the healthcare team, and learners will receive </w:instrText>
      </w:r>
      <w:r w:rsidRPr="00022CCB">
        <w:rPr>
          <w:rFonts w:ascii="Verdana" w:hAnsi="Verdana"/>
          <w:bCs/>
          <w:sz w:val="20"/>
          <w:szCs w:val="20"/>
        </w:rPr>
        <w:fldChar w:fldCharType="begin"/>
      </w:r>
      <w:r w:rsidRPr="00022CCB">
        <w:rPr>
          <w:rFonts w:ascii="Verdana" w:hAnsi="Verdana"/>
          <w:bCs/>
          <w:sz w:val="20"/>
          <w:szCs w:val="20"/>
        </w:rPr>
        <w:instrText xml:space="preserve"> MERGEFIELD  IPCEHoursMax  \* MERGEFORMAT </w:instrText>
      </w:r>
      <w:r w:rsidRPr="00022CCB">
        <w:rPr>
          <w:rFonts w:ascii="Verdana" w:hAnsi="Verdana"/>
          <w:bCs/>
          <w:sz w:val="20"/>
          <w:szCs w:val="20"/>
        </w:rPr>
        <w:fldChar w:fldCharType="separate"/>
      </w:r>
      <w:r w:rsidRPr="00022CCB">
        <w:rPr>
          <w:rFonts w:ascii="Verdana" w:hAnsi="Verdana"/>
          <w:bCs/>
          <w:noProof/>
          <w:sz w:val="20"/>
          <w:szCs w:val="20"/>
        </w:rPr>
        <w:instrText>«IPCEHoursMax»</w:instrText>
      </w:r>
      <w:r w:rsidRPr="00022CCB">
        <w:rPr>
          <w:rFonts w:ascii="Verdana" w:hAnsi="Verdana"/>
          <w:bCs/>
          <w:sz w:val="20"/>
          <w:szCs w:val="20"/>
        </w:rPr>
        <w:fldChar w:fldCharType="end"/>
      </w:r>
      <w:r w:rsidRPr="00022CCB">
        <w:rPr>
          <w:rFonts w:ascii="Verdana" w:hAnsi="Verdana"/>
          <w:bCs/>
          <w:sz w:val="20"/>
          <w:szCs w:val="20"/>
        </w:rPr>
        <w:instrText xml:space="preserve"> Interprofessional Continuing Education(IPCE) credit for learning and change.  " "" </w:instrText>
      </w:r>
      <w:r w:rsidRPr="00022CCB">
        <w:rPr>
          <w:rFonts w:ascii="Verdana" w:hAnsi="Verdana"/>
          <w:bCs/>
          <w:sz w:val="20"/>
          <w:szCs w:val="20"/>
        </w:rPr>
        <w:fldChar w:fldCharType="separate"/>
      </w:r>
      <w:r w:rsidRPr="00022CCB">
        <w:rPr>
          <w:rFonts w:ascii="Verdana" w:hAnsi="Verdana"/>
          <w:bCs/>
          <w:sz w:val="20"/>
          <w:szCs w:val="20"/>
        </w:rPr>
        <w:fldChar w:fldCharType="end"/>
      </w:r>
      <w:r w:rsidRPr="00022CCB">
        <w:rPr>
          <w:rFonts w:ascii="Verdana" w:hAnsi="Verdana"/>
          <w:bCs/>
          <w:sz w:val="20"/>
          <w:szCs w:val="20"/>
        </w:rPr>
        <w:fldChar w:fldCharType="begin"/>
      </w:r>
      <w:r w:rsidRPr="00022CCB">
        <w:rPr>
          <w:rFonts w:ascii="Verdana" w:hAnsi="Verdana"/>
          <w:bCs/>
          <w:sz w:val="20"/>
          <w:szCs w:val="20"/>
        </w:rPr>
        <w:instrText xml:space="preserve"> IF </w:instrText>
      </w:r>
      <w:r w:rsidRPr="00022CCB">
        <w:rPr>
          <w:rFonts w:ascii="Verdana" w:hAnsi="Verdana"/>
          <w:bCs/>
          <w:noProof/>
          <w:sz w:val="20"/>
          <w:szCs w:val="20"/>
        </w:rPr>
        <w:instrText>1.00</w:instrText>
      </w:r>
      <w:r w:rsidRPr="00022CCB">
        <w:rPr>
          <w:rFonts w:ascii="Verdana" w:hAnsi="Verdana"/>
          <w:bCs/>
          <w:sz w:val="20"/>
          <w:szCs w:val="20"/>
        </w:rPr>
        <w:instrText xml:space="preserve"> &gt; 0 "Hartford Healt</w:instrText>
      </w:r>
      <w:r w:rsidR="00E1030C">
        <w:rPr>
          <w:rFonts w:ascii="Verdana" w:hAnsi="Verdana"/>
          <w:bCs/>
          <w:sz w:val="20"/>
          <w:szCs w:val="20"/>
        </w:rPr>
        <w:instrText>h</w:instrText>
      </w:r>
      <w:r w:rsidRPr="00022CCB">
        <w:rPr>
          <w:rFonts w:ascii="Verdana" w:hAnsi="Verdana"/>
          <w:bCs/>
          <w:sz w:val="20"/>
          <w:szCs w:val="20"/>
        </w:rPr>
        <w:instrText xml:space="preserve">care designates this </w:instrText>
      </w:r>
      <w:r w:rsidRPr="00022CCB">
        <w:rPr>
          <w:rFonts w:ascii="Verdana" w:hAnsi="Verdana"/>
          <w:bCs/>
          <w:noProof/>
          <w:sz w:val="20"/>
          <w:szCs w:val="20"/>
        </w:rPr>
        <w:instrText>Live Activity</w:instrText>
      </w:r>
      <w:r w:rsidRPr="00022CCB">
        <w:rPr>
          <w:rFonts w:ascii="Verdana" w:hAnsi="Verdana"/>
          <w:bCs/>
          <w:sz w:val="20"/>
          <w:szCs w:val="20"/>
        </w:rPr>
        <w:instrText xml:space="preserve"> for </w:instrText>
      </w:r>
      <w:r w:rsidRPr="00022CCB">
        <w:rPr>
          <w:rFonts w:ascii="Verdana" w:hAnsi="Verdana"/>
          <w:bCs/>
          <w:noProof/>
          <w:sz w:val="20"/>
          <w:szCs w:val="20"/>
        </w:rPr>
        <w:instrText>1.00</w:instrText>
      </w:r>
      <w:r w:rsidRPr="00022CCB">
        <w:rPr>
          <w:rFonts w:ascii="Verdana" w:hAnsi="Verdana"/>
          <w:bCs/>
          <w:sz w:val="20"/>
          <w:szCs w:val="20"/>
        </w:rPr>
        <w:instrText xml:space="preserve"> </w:instrText>
      </w:r>
      <w:r w:rsidRPr="00022CCB">
        <w:rPr>
          <w:rFonts w:ascii="Verdana" w:hAnsi="Verdana"/>
          <w:bCs/>
          <w:i/>
          <w:iCs/>
          <w:sz w:val="20"/>
          <w:szCs w:val="20"/>
        </w:rPr>
        <w:instrText>AMA PRA Category 1 Credit(s)</w:instrText>
      </w:r>
      <w:r w:rsidRPr="00022CCB">
        <w:rPr>
          <w:rFonts w:ascii="Verdana" w:hAnsi="Verdana"/>
          <w:bCs/>
          <w:i/>
          <w:iCs/>
          <w:sz w:val="20"/>
          <w:szCs w:val="20"/>
          <w:vertAlign w:val="superscript"/>
        </w:rPr>
        <w:instrText>TM</w:instrText>
      </w:r>
      <w:r w:rsidRPr="00022CCB">
        <w:rPr>
          <w:rFonts w:ascii="Verdana" w:hAnsi="Verdana"/>
          <w:bCs/>
          <w:sz w:val="20"/>
          <w:szCs w:val="20"/>
        </w:rPr>
        <w:instrText xml:space="preserve">.  Physicians should only claim credit commensurate with their participation.  " "" </w:instrText>
      </w:r>
      <w:r w:rsidRPr="00022CCB">
        <w:rPr>
          <w:rFonts w:ascii="Verdana" w:hAnsi="Verdana"/>
          <w:bCs/>
          <w:sz w:val="20"/>
          <w:szCs w:val="20"/>
        </w:rPr>
        <w:fldChar w:fldCharType="separate"/>
      </w:r>
      <w:r w:rsidRPr="00022CCB">
        <w:rPr>
          <w:rFonts w:ascii="Verdana" w:hAnsi="Verdana"/>
          <w:bCs/>
          <w:sz w:val="20"/>
          <w:szCs w:val="20"/>
        </w:rPr>
        <w:t>Hartford Healt</w:t>
      </w:r>
      <w:r w:rsidR="00E1030C">
        <w:rPr>
          <w:rFonts w:ascii="Verdana" w:hAnsi="Verdana"/>
          <w:bCs/>
          <w:sz w:val="20"/>
          <w:szCs w:val="20"/>
        </w:rPr>
        <w:t>h</w:t>
      </w:r>
      <w:r w:rsidRPr="00022CCB">
        <w:rPr>
          <w:rFonts w:ascii="Verdana" w:hAnsi="Verdana"/>
          <w:bCs/>
          <w:sz w:val="20"/>
          <w:szCs w:val="20"/>
        </w:rPr>
        <w:t xml:space="preserve">care designates this </w:t>
      </w:r>
      <w:r w:rsidRPr="00022CCB">
        <w:rPr>
          <w:rFonts w:ascii="Verdana" w:hAnsi="Verdana"/>
          <w:bCs/>
          <w:noProof/>
          <w:sz w:val="20"/>
          <w:szCs w:val="20"/>
        </w:rPr>
        <w:t>Live Activity</w:t>
      </w:r>
      <w:r w:rsidRPr="00022CCB">
        <w:rPr>
          <w:rFonts w:ascii="Verdana" w:hAnsi="Verdana"/>
          <w:bCs/>
          <w:sz w:val="20"/>
          <w:szCs w:val="20"/>
        </w:rPr>
        <w:t xml:space="preserve"> for </w:t>
      </w:r>
      <w:r w:rsidRPr="00022CCB">
        <w:rPr>
          <w:rFonts w:ascii="Verdana" w:hAnsi="Verdana"/>
          <w:bCs/>
          <w:noProof/>
          <w:sz w:val="20"/>
          <w:szCs w:val="20"/>
        </w:rPr>
        <w:t>1.00</w:t>
      </w:r>
      <w:r w:rsidRPr="00022CCB">
        <w:rPr>
          <w:rFonts w:ascii="Verdana" w:hAnsi="Verdana"/>
          <w:bCs/>
          <w:sz w:val="20"/>
          <w:szCs w:val="20"/>
        </w:rPr>
        <w:t xml:space="preserve"> </w:t>
      </w:r>
      <w:r w:rsidRPr="00022CCB">
        <w:rPr>
          <w:rFonts w:ascii="Verdana" w:hAnsi="Verdana"/>
          <w:bCs/>
          <w:i/>
          <w:iCs/>
          <w:sz w:val="20"/>
          <w:szCs w:val="20"/>
        </w:rPr>
        <w:t>AMA PRA Category 1 Credit(s)</w:t>
      </w:r>
      <w:r w:rsidRPr="00022CCB">
        <w:rPr>
          <w:rFonts w:ascii="Verdana" w:hAnsi="Verdana"/>
          <w:bCs/>
          <w:i/>
          <w:iCs/>
          <w:sz w:val="20"/>
          <w:szCs w:val="20"/>
          <w:vertAlign w:val="superscript"/>
        </w:rPr>
        <w:t>TM</w:t>
      </w:r>
      <w:r w:rsidRPr="00022CCB">
        <w:rPr>
          <w:rFonts w:ascii="Verdana" w:hAnsi="Verdana"/>
          <w:bCs/>
          <w:sz w:val="20"/>
          <w:szCs w:val="20"/>
        </w:rPr>
        <w:t xml:space="preserve">.  Physicians should only claim credit commensurate with their participation.  </w:t>
      </w:r>
      <w:r w:rsidRPr="00022CCB">
        <w:rPr>
          <w:rFonts w:ascii="Verdana" w:hAnsi="Verdana"/>
          <w:bCs/>
          <w:sz w:val="20"/>
          <w:szCs w:val="20"/>
        </w:rPr>
        <w:fldChar w:fldCharType="end"/>
      </w:r>
      <w:r w:rsidRPr="00022CCB">
        <w:rPr>
          <w:rFonts w:ascii="Verdana" w:hAnsi="Verdana"/>
          <w:bCs/>
          <w:sz w:val="20"/>
          <w:szCs w:val="20"/>
        </w:rPr>
        <w:fldChar w:fldCharType="begin"/>
      </w:r>
      <w:r w:rsidRPr="00022CCB">
        <w:rPr>
          <w:rFonts w:ascii="Verdana" w:hAnsi="Verdana"/>
          <w:bCs/>
          <w:sz w:val="20"/>
          <w:szCs w:val="20"/>
        </w:rPr>
        <w:instrText xml:space="preserve"> IF </w:instrText>
      </w:r>
      <w:r w:rsidRPr="00022CCB">
        <w:rPr>
          <w:rFonts w:ascii="Verdana" w:hAnsi="Verdana"/>
          <w:bCs/>
          <w:noProof/>
          <w:sz w:val="20"/>
          <w:szCs w:val="20"/>
        </w:rPr>
        <w:instrText>1.00</w:instrText>
      </w:r>
      <w:r w:rsidRPr="00022CCB">
        <w:rPr>
          <w:rFonts w:ascii="Verdana" w:hAnsi="Verdana"/>
          <w:bCs/>
          <w:sz w:val="20"/>
          <w:szCs w:val="20"/>
        </w:rPr>
        <w:instrText xml:space="preserve"> &gt; 0 "This activity is </w:instrText>
      </w:r>
      <w:r w:rsidR="00E1030C">
        <w:rPr>
          <w:rFonts w:ascii="Verdana" w:hAnsi="Verdana"/>
          <w:bCs/>
          <w:sz w:val="20"/>
          <w:szCs w:val="20"/>
        </w:rPr>
        <w:instrText xml:space="preserve">approved </w:instrText>
      </w:r>
      <w:r w:rsidRPr="00022CCB">
        <w:rPr>
          <w:rFonts w:ascii="Verdana" w:hAnsi="Verdana"/>
          <w:bCs/>
          <w:sz w:val="20"/>
          <w:szCs w:val="20"/>
        </w:rPr>
        <w:instrText xml:space="preserve">for </w:instrText>
      </w:r>
      <w:r w:rsidRPr="00022CCB">
        <w:rPr>
          <w:rFonts w:ascii="Verdana" w:hAnsi="Verdana"/>
          <w:bCs/>
          <w:noProof/>
          <w:sz w:val="20"/>
          <w:szCs w:val="20"/>
        </w:rPr>
        <w:instrText>1.00</w:instrText>
      </w:r>
      <w:r w:rsidRPr="00022CCB">
        <w:rPr>
          <w:rFonts w:ascii="Verdana" w:hAnsi="Verdana"/>
          <w:bCs/>
          <w:sz w:val="20"/>
          <w:szCs w:val="20"/>
        </w:rPr>
        <w:instrText xml:space="preserve"> ANCC contact hour(s).  " "" </w:instrText>
      </w:r>
      <w:r w:rsidRPr="00022CCB">
        <w:rPr>
          <w:rFonts w:ascii="Verdana" w:hAnsi="Verdana"/>
          <w:bCs/>
          <w:sz w:val="20"/>
          <w:szCs w:val="20"/>
        </w:rPr>
        <w:fldChar w:fldCharType="separate"/>
      </w:r>
      <w:r w:rsidRPr="00022CCB">
        <w:rPr>
          <w:rFonts w:ascii="Verdana" w:hAnsi="Verdana"/>
          <w:bCs/>
          <w:sz w:val="20"/>
          <w:szCs w:val="20"/>
        </w:rPr>
        <w:t xml:space="preserve">This activity is </w:t>
      </w:r>
      <w:r w:rsidR="00E1030C">
        <w:rPr>
          <w:rFonts w:ascii="Verdana" w:hAnsi="Verdana"/>
          <w:bCs/>
          <w:sz w:val="20"/>
          <w:szCs w:val="20"/>
        </w:rPr>
        <w:t xml:space="preserve">approved </w:t>
      </w:r>
      <w:r w:rsidRPr="00022CCB">
        <w:rPr>
          <w:rFonts w:ascii="Verdana" w:hAnsi="Verdana"/>
          <w:bCs/>
          <w:sz w:val="20"/>
          <w:szCs w:val="20"/>
        </w:rPr>
        <w:t xml:space="preserve">for </w:t>
      </w:r>
      <w:r w:rsidRPr="00022CCB">
        <w:rPr>
          <w:rFonts w:ascii="Verdana" w:hAnsi="Verdana"/>
          <w:bCs/>
          <w:noProof/>
          <w:sz w:val="20"/>
          <w:szCs w:val="20"/>
        </w:rPr>
        <w:t>1.00</w:t>
      </w:r>
      <w:r w:rsidRPr="00022CCB">
        <w:rPr>
          <w:rFonts w:ascii="Verdana" w:hAnsi="Verdana"/>
          <w:bCs/>
          <w:sz w:val="20"/>
          <w:szCs w:val="20"/>
        </w:rPr>
        <w:t xml:space="preserve"> ANCC contact hour(s).  </w:t>
      </w:r>
      <w:r w:rsidRPr="00022CCB">
        <w:rPr>
          <w:rFonts w:ascii="Verdana" w:hAnsi="Verdana"/>
          <w:bCs/>
          <w:sz w:val="20"/>
          <w:szCs w:val="20"/>
        </w:rPr>
        <w:fldChar w:fldCharType="end"/>
      </w:r>
      <w:r w:rsidRPr="00022CCB">
        <w:rPr>
          <w:rFonts w:ascii="Verdana" w:hAnsi="Verdana"/>
          <w:bCs/>
          <w:sz w:val="20"/>
          <w:szCs w:val="20"/>
        </w:rPr>
        <w:fldChar w:fldCharType="begin"/>
      </w:r>
      <w:r w:rsidRPr="00022CCB">
        <w:rPr>
          <w:rFonts w:ascii="Verdana" w:hAnsi="Verdana"/>
          <w:bCs/>
          <w:sz w:val="20"/>
          <w:szCs w:val="20"/>
        </w:rPr>
        <w:instrText xml:space="preserve"> IF </w:instrText>
      </w:r>
      <w:r w:rsidRPr="00022CCB">
        <w:rPr>
          <w:rFonts w:ascii="Verdana" w:hAnsi="Verdana"/>
          <w:bCs/>
          <w:noProof/>
          <w:sz w:val="20"/>
          <w:szCs w:val="20"/>
        </w:rPr>
        <w:instrText>0.00</w:instrText>
      </w:r>
      <w:r w:rsidRPr="00022CCB">
        <w:rPr>
          <w:rFonts w:ascii="Verdana" w:hAnsi="Verdana"/>
          <w:bCs/>
          <w:sz w:val="20"/>
          <w:szCs w:val="20"/>
        </w:rPr>
        <w:instrText xml:space="preserve"> &gt; 0 "This activity is approved for </w:instrText>
      </w:r>
      <w:r w:rsidRPr="00022CCB">
        <w:rPr>
          <w:rFonts w:ascii="Verdana" w:hAnsi="Verdana"/>
          <w:bCs/>
          <w:sz w:val="20"/>
          <w:szCs w:val="20"/>
        </w:rPr>
        <w:fldChar w:fldCharType="begin"/>
      </w:r>
      <w:r w:rsidRPr="00022CCB">
        <w:rPr>
          <w:rFonts w:ascii="Verdana" w:hAnsi="Verdana"/>
          <w:bCs/>
          <w:sz w:val="20"/>
          <w:szCs w:val="20"/>
        </w:rPr>
        <w:instrText xml:space="preserve"> MERGEFIELD  ACPEHoursMax  \* MERGEFORMAT </w:instrText>
      </w:r>
      <w:r w:rsidRPr="00022CCB">
        <w:rPr>
          <w:rFonts w:ascii="Verdana" w:hAnsi="Verdana"/>
          <w:bCs/>
          <w:sz w:val="20"/>
          <w:szCs w:val="20"/>
        </w:rPr>
        <w:fldChar w:fldCharType="separate"/>
      </w:r>
      <w:r w:rsidRPr="00022CCB">
        <w:rPr>
          <w:rFonts w:ascii="Verdana" w:hAnsi="Verdana"/>
          <w:bCs/>
          <w:noProof/>
          <w:sz w:val="20"/>
          <w:szCs w:val="20"/>
        </w:rPr>
        <w:instrText>«ACPEHoursMax»</w:instrText>
      </w:r>
      <w:r w:rsidRPr="00022CCB">
        <w:rPr>
          <w:rFonts w:ascii="Verdana" w:hAnsi="Verdana"/>
          <w:bCs/>
          <w:sz w:val="20"/>
          <w:szCs w:val="20"/>
        </w:rPr>
        <w:fldChar w:fldCharType="end"/>
      </w:r>
      <w:r w:rsidRPr="00022CCB">
        <w:rPr>
          <w:rFonts w:ascii="Verdana" w:hAnsi="Verdana"/>
          <w:bCs/>
          <w:sz w:val="20"/>
          <w:szCs w:val="20"/>
        </w:rPr>
        <w:instrText xml:space="preserve"> ACPE contact hour(s)." "" </w:instrText>
      </w:r>
      <w:r w:rsidRPr="00022CCB">
        <w:rPr>
          <w:rFonts w:ascii="Verdana" w:hAnsi="Verdana"/>
          <w:bCs/>
          <w:sz w:val="20"/>
          <w:szCs w:val="20"/>
        </w:rPr>
        <w:fldChar w:fldCharType="separate"/>
      </w:r>
      <w:r w:rsidRPr="00022CCB">
        <w:rPr>
          <w:rFonts w:ascii="Verdana" w:hAnsi="Verdana"/>
          <w:bCs/>
          <w:sz w:val="20"/>
          <w:szCs w:val="20"/>
        </w:rPr>
        <w:fldChar w:fldCharType="end"/>
      </w:r>
    </w:p>
    <w:p w:rsidR="00A7776A" w:rsidRPr="00022CCB" w:rsidP="0030050C">
      <w:pPr>
        <w:ind w:right="-45"/>
        <w:rPr>
          <w:rFonts w:ascii="Verdana" w:hAnsi="Verdana"/>
          <w:bCs/>
          <w:sz w:val="12"/>
          <w:szCs w:val="20"/>
        </w:rPr>
      </w:pPr>
    </w:p>
    <w:p w:rsidR="00A7776A" w:rsidRPr="00022CCB" w:rsidP="00A7776A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022CCB">
        <w:rPr>
          <w:rFonts w:ascii="Verdana" w:hAnsi="Verdana"/>
          <w:b/>
          <w:sz w:val="20"/>
          <w:szCs w:val="20"/>
        </w:rPr>
        <w:t>Financial Disclosure</w:t>
      </w:r>
      <w:r w:rsidRPr="00022CCB" w:rsidR="0066082F">
        <w:rPr>
          <w:rFonts w:ascii="Verdana" w:hAnsi="Verdana"/>
          <w:b/>
          <w:sz w:val="20"/>
          <w:szCs w:val="20"/>
        </w:rPr>
        <w:t>s</w:t>
      </w:r>
      <w:r w:rsidRPr="00022CCB">
        <w:rPr>
          <w:rFonts w:ascii="Verdana" w:hAnsi="Verdana"/>
          <w:b/>
          <w:sz w:val="20"/>
          <w:szCs w:val="20"/>
        </w:rPr>
        <w:t>:</w:t>
      </w:r>
    </w:p>
    <w:p w:rsidR="00A7776A" w:rsidRPr="007273EB" w:rsidP="007273EB">
      <w:pPr>
        <w:pStyle w:val="ListParagraph"/>
        <w:numPr>
          <w:ilvl w:val="0"/>
          <w:numId w:val="2"/>
        </w:numPr>
        <w:ind w:right="-43"/>
        <w:rPr>
          <w:rFonts w:ascii="Verdana" w:hAnsi="Verdana"/>
          <w:color w:val="505150"/>
          <w:sz w:val="20"/>
          <w:szCs w:val="20"/>
        </w:rPr>
      </w:pPr>
      <w:r w:rsidRPr="007273EB">
        <w:rPr>
          <w:rFonts w:ascii="Verdana" w:hAnsi="Verdana"/>
          <w:noProof/>
          <w:color w:val="505150"/>
          <w:sz w:val="20"/>
          <w:szCs w:val="20"/>
        </w:rPr>
        <w:t>Heidi Klepin</w:t>
      </w:r>
      <w:r w:rsidRPr="007273EB">
        <w:rPr>
          <w:rFonts w:ascii="Verdana" w:hAnsi="Verdana"/>
          <w:color w:val="505150"/>
          <w:sz w:val="20"/>
          <w:szCs w:val="20"/>
        </w:rPr>
        <w:t>, MD: Nothing to disclose - 07/05/2023</w:t>
      </w:r>
    </w:p>
    <w:p w:rsidR="00A7776A" w:rsidRPr="007273EB" w:rsidP="007273EB">
      <w:pPr>
        <w:pStyle w:val="ListParagraph"/>
        <w:numPr>
          <w:ilvl w:val="0"/>
          <w:numId w:val="2"/>
        </w:numPr>
        <w:ind w:right="-43"/>
        <w:rPr>
          <w:rFonts w:ascii="Verdana" w:hAnsi="Verdana"/>
          <w:color w:val="505150"/>
          <w:sz w:val="20"/>
          <w:szCs w:val="20"/>
        </w:rPr>
      </w:pPr>
    </w:p>
    <w:p w:rsidR="00A7776A" w:rsidRPr="002523CE" w:rsidP="0030050C">
      <w:pPr>
        <w:ind w:right="-45"/>
        <w:rPr>
          <w:rFonts w:ascii="Verdana" w:hAnsi="Verdana"/>
          <w:bCs/>
          <w:sz w:val="20"/>
          <w:szCs w:val="20"/>
        </w:rPr>
      </w:pPr>
    </w:p>
    <w:p w:rsidR="005A6F92" w:rsidP="0030050C">
      <w:pPr>
        <w:tabs>
          <w:tab w:val="left" w:pos="1530"/>
          <w:tab w:val="left" w:pos="10058"/>
        </w:tabs>
        <w:ind w:right="-1278"/>
      </w:pPr>
      <w:r w:rsidRPr="00A257FD">
        <w:rPr>
          <w:rFonts w:ascii="Caecilia LT Pro 45 Light" w:eastAsia="Times New Roman" w:hAnsi="Caecilia LT Pro 45 Light"/>
          <w:b/>
          <w:noProof/>
          <w:sz w:val="16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ge">
              <wp:posOffset>8568267</wp:posOffset>
            </wp:positionV>
            <wp:extent cx="1456055" cy="998855"/>
            <wp:effectExtent l="0" t="0" r="0" b="0"/>
            <wp:wrapNone/>
            <wp:docPr id="6" name="Picture 6" descr="C:\Users\dgartley\AppData\Local\Microsoft\Windows\INetCache\Content.Word\Jointly_Accredited_Provide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rtley\AppData\Local\Microsoft\Windows\INetCache\Content.Word\Jointly_Accredited_Provider_PNG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76A" w:rsidRPr="00A7776A" w:rsidP="00A7776A"/>
    <w:p w:rsidR="00A7776A" w:rsidRPr="00A7776A" w:rsidP="00A7776A"/>
    <w:p w:rsidR="00A7776A" w:rsidP="00A7776A"/>
    <w:p w:rsidR="00A7776A" w:rsidRPr="00A7776A" w:rsidP="00A7776A">
      <w:pPr>
        <w:tabs>
          <w:tab w:val="left" w:pos="8640"/>
        </w:tabs>
      </w:pPr>
      <w:r>
        <w:tab/>
      </w:r>
    </w:p>
    <w:p w:rsidR="00E1030C" w:rsidRPr="00A7776A">
      <w:pPr>
        <w:tabs>
          <w:tab w:val="left" w:pos="8640"/>
        </w:tabs>
      </w:pPr>
    </w:p>
    <w:p w:rsidR="00E1030C" w:rsidRPr="00A7776A">
      <w:pPr>
        <w:tabs>
          <w:tab w:val="left" w:pos="8640"/>
        </w:tabs>
      </w:pPr>
    </w:p>
    <w:sectPr w:rsidSect="0039016A"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ecilia LT Pro 45 Light">
    <w:altName w:val="Cambria"/>
    <w:panose1 w:val="020B0604020202020204"/>
    <w:charset w:val="00"/>
    <w:family w:val="roman"/>
    <w:pitch w:val="variable"/>
    <w:sig w:usb0="800000AF" w:usb1="5000204A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FC470A"/>
    <w:multiLevelType w:val="hybridMultilevel"/>
    <w:tmpl w:val="3C6EC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609E6"/>
    <w:multiLevelType w:val="hybridMultilevel"/>
    <w:tmpl w:val="C262B4C0"/>
    <w:lvl w:ilvl="0">
      <w:start w:val="1"/>
      <w:numFmt w:val="decimal"/>
      <w:lvlText w:val="%1."/>
      <w:lvlJc w:val="left"/>
      <w:pPr>
        <w:ind w:left="99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EmbedSmartTags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smallFrac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79F16-1635-4C7F-93FC-0FD6DA37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Tim Millard</cp:lastModifiedBy>
  <cp:revision>18</cp:revision>
  <cp:lastPrinted>2020-08-05T18:15:00Z</cp:lastPrinted>
  <dcterms:created xsi:type="dcterms:W3CDTF">2021-10-13T18:47:00Z</dcterms:created>
  <dcterms:modified xsi:type="dcterms:W3CDTF">2021-11-02T12:42:00Z</dcterms:modified>
</cp:coreProperties>
</file>