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D2A16" w:rsidRPr="009838F7" w:rsidP="0030050C">
      <w:pPr>
        <w:jc w:val="center"/>
        <w:rPr>
          <w:rFonts w:ascii="Verdana" w:hAnsi="Verdana"/>
          <w:b/>
          <w:color w:val="D2492A"/>
          <w:sz w:val="36"/>
        </w:rPr>
      </w:pPr>
      <w:r>
        <w:t xml:space="preserve"> </w:t>
      </w:r>
      <w:r w:rsidR="00447C78">
        <w:rPr>
          <w:rFonts w:ascii="Verdana" w:hAnsi="Verdana"/>
          <w:b/>
          <w:noProof/>
          <w:color w:val="D2492A"/>
          <w:sz w:val="52"/>
        </w:rPr>
        <w:t>Mary Mulready</w:t>
      </w:r>
      <w:r>
        <w:rPr>
          <w:rFonts w:ascii="Verdana" w:hAnsi="Verdana"/>
          <w:b/>
          <w:color w:val="D2492A"/>
          <w:sz w:val="52"/>
        </w:rPr>
        <w:t xml:space="preserve"> Sullivan Oncology Symposium: Focus on Melanoma and Skin Cancer Prevention, Detection and Treatment</w:t>
      </w:r>
    </w:p>
    <w:p w:rsidR="005D2A16" w:rsidRPr="00B93FCE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5D2A16" w:rsidP="0030050C">
      <w:pPr>
        <w:jc w:val="center"/>
        <w:rPr>
          <w:rFonts w:ascii="Lucida Handwriting" w:hAnsi="Lucida Handwriting"/>
          <w:color w:val="000000" w:themeColor="text1"/>
          <w:sz w:val="16"/>
          <w:szCs w:val="12"/>
        </w:rPr>
      </w:pPr>
      <w:r w:rsidRPr="009838F7">
        <w:rPr>
          <w:rFonts w:ascii="Lucida Handwriting" w:hAnsi="Lucida Handwriting"/>
          <w:color w:val="000000" w:themeColor="text1"/>
          <w:sz w:val="16"/>
          <w:szCs w:val="12"/>
        </w:rPr>
        <w:t>presented by</w:t>
      </w:r>
    </w:p>
    <w:p w:rsidR="005D2A16" w:rsidRPr="00B93FCE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9838F7" w:rsidP="0030050C">
      <w:pPr>
        <w:jc w:val="center"/>
        <w:rPr>
          <w:rFonts w:ascii="Verdana" w:hAnsi="Verdana"/>
          <w:color w:val="000000" w:themeColor="text1"/>
          <w:sz w:val="4"/>
          <w:szCs w:val="12"/>
        </w:rPr>
      </w:pPr>
    </w:p>
    <w:p w:rsidR="00E961FE" w:rsidP="0030050C">
      <w:pPr>
        <w:jc w:val="center"/>
        <w:rPr>
          <w:rFonts w:ascii="Verdana" w:hAnsi="Verdana"/>
          <w:b/>
          <w:color w:val="D2492A"/>
          <w:sz w:val="36"/>
        </w:rPr>
      </w:pPr>
      <w:r w:rsidR="00447C78">
        <w:rPr>
          <w:rFonts w:ascii="Verdana" w:hAnsi="Verdana"/>
          <w:b/>
          <w:noProof/>
          <w:color w:val="D2492A"/>
          <w:sz w:val="36"/>
        </w:rPr>
        <w:t>Dean George</w:t>
      </w:r>
      <w:r>
        <w:rPr>
          <w:rFonts w:ascii="Verdana" w:hAnsi="Verdana"/>
          <w:b/>
          <w:color w:val="D2492A"/>
          <w:sz w:val="36"/>
        </w:rPr>
        <w:t>, MD; Alexander Shoushtari, MD; Merrick I Ross, MD; Ryan Sullivan, MD; Hao Feng, MD; Timothy Boyd, MD; Frank Santoro, MD; Kristi Dubey, APRN; Omar Eton, MD</w:t>
      </w:r>
    </w:p>
    <w:p w:rsidR="005D2A16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IF </w:instrText>
      </w:r>
      <w:r w:rsidR="00447C78">
        <w:rPr>
          <w:rFonts w:ascii="Verdana" w:hAnsi="Verdana"/>
          <w:i/>
          <w:noProof/>
          <w:color w:val="D2492A"/>
          <w:sz w:val="36"/>
        </w:rPr>
        <w:instrText>"</w:instrText>
      </w:r>
      <w:r w:rsidR="00447C78">
        <w:rPr>
          <w:rFonts w:ascii="Verdana" w:hAnsi="Verdana"/>
          <w:i/>
          <w:noProof/>
          <w:color w:val="D2492A"/>
          <w:sz w:val="36"/>
        </w:rPr>
        <w:instrText>Medical Director</w:instrText>
      </w:r>
      <w:r>
        <w:rPr>
          <w:rFonts w:ascii="Verdana" w:hAnsi="Verdana"/>
          <w:i/>
          <w:color w:val="D2492A"/>
          <w:sz w:val="36"/>
        </w:rPr>
        <w:instrText>, Cutaneous Oncology</w:instrText>
      </w:r>
      <w:r>
        <w:rPr>
          <w:rFonts w:ascii="Verdana" w:hAnsi="Verdana"/>
          <w:i/>
          <w:color w:val="D2492A"/>
          <w:sz w:val="36"/>
        </w:rPr>
        <w:instrText>"</w:instrText>
      </w:r>
      <w:r>
        <w:rPr>
          <w:rFonts w:ascii="Verdana" w:hAnsi="Verdana"/>
          <w:i/>
          <w:color w:val="D2492A"/>
          <w:sz w:val="36"/>
        </w:rPr>
        <w:instrText xml:space="preserve">  = "" "</w:instrText>
      </w:r>
    </w:p>
    <w:p w:rsidR="005D2A16" w:rsidRPr="00C129C8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MERGEFIELD  ProfessionalTitle  \* MERGEFORMAT </w:instrText>
      </w:r>
      <w:r>
        <w:rPr>
          <w:rFonts w:ascii="Verdana" w:hAnsi="Verdana"/>
          <w:i/>
          <w:color w:val="D2492A"/>
          <w:sz w:val="36"/>
        </w:rPr>
        <w:fldChar w:fldCharType="separate"/>
      </w:r>
      <w:r>
        <w:rPr>
          <w:rFonts w:ascii="Verdana" w:hAnsi="Verdana"/>
          <w:i/>
          <w:noProof/>
          <w:color w:val="D2492A"/>
          <w:sz w:val="36"/>
        </w:rPr>
        <w:instrText>«ProfessionalTitle»</w:instrText>
      </w:r>
      <w:r>
        <w:rPr>
          <w:rFonts w:ascii="Verdana" w:hAnsi="Verdana"/>
          <w:i/>
          <w:color w:val="D2492A"/>
          <w:sz w:val="36"/>
        </w:rPr>
        <w:fldChar w:fldCharType="end"/>
      </w:r>
      <w:r>
        <w:rPr>
          <w:rFonts w:ascii="Verdana" w:hAnsi="Verdana"/>
          <w:i/>
          <w:color w:val="D2492A"/>
          <w:sz w:val="36"/>
        </w:rPr>
        <w:instrText xml:space="preserve">" </w:instrText>
      </w:r>
      <w:r>
        <w:rPr>
          <w:rFonts w:ascii="Verdana" w:hAnsi="Verdana"/>
          <w:i/>
          <w:color w:val="D2492A"/>
          <w:sz w:val="36"/>
        </w:rPr>
        <w:fldChar w:fldCharType="separate"/>
      </w:r>
      <w:r>
        <w:rPr>
          <w:rFonts w:ascii="Verdana" w:hAnsi="Verdana"/>
          <w:i/>
          <w:color w:val="D2492A"/>
          <w:sz w:val="36"/>
        </w:rPr>
        <w:fldChar w:fldCharType="end"/>
      </w:r>
    </w:p>
    <w:p w:rsidR="005D2A16" w:rsidRPr="007D5704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 w:rsidR="00447C78">
        <w:rPr>
          <w:rFonts w:ascii="Verdana" w:hAnsi="Verdana"/>
          <w:b/>
          <w:noProof/>
          <w:sz w:val="32"/>
          <w:szCs w:val="19"/>
        </w:rPr>
        <w:t xml:space="preserve">Wednesday, </w:t>
      </w:r>
      <w:r>
        <w:rPr>
          <w:rFonts w:ascii="Verdana" w:hAnsi="Verdana"/>
          <w:b/>
          <w:sz w:val="32"/>
          <w:szCs w:val="19"/>
        </w:rPr>
        <w:t>May 11, 2022</w:t>
      </w:r>
    </w:p>
    <w:p w:rsidR="00E961FE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 w:rsidR="00447C78">
        <w:rPr>
          <w:rFonts w:ascii="Verdana" w:hAnsi="Verdana"/>
          <w:b/>
          <w:noProof/>
          <w:sz w:val="32"/>
          <w:szCs w:val="19"/>
        </w:rPr>
        <w:t>9:00</w:t>
      </w:r>
      <w:r>
        <w:rPr>
          <w:rFonts w:ascii="Verdana" w:hAnsi="Verdana"/>
          <w:b/>
          <w:sz w:val="32"/>
          <w:szCs w:val="19"/>
        </w:rPr>
        <w:t xml:space="preserve"> AM</w: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="00447C78">
        <w:rPr>
          <w:rFonts w:ascii="Verdana" w:hAnsi="Verdana"/>
          <w:b/>
          <w:noProof/>
          <w:sz w:val="32"/>
          <w:szCs w:val="32"/>
        </w:rPr>
        <w:t>ZOOM</w:t>
      </w:r>
      <w:r w:rsidRPr="00E961FE">
        <w:rPr>
          <w:rFonts w:ascii="Verdana" w:hAnsi="Verdana"/>
          <w:b/>
          <w:sz w:val="32"/>
          <w:szCs w:val="32"/>
        </w:rPr>
        <w:fldChar w:fldCharType="begin"/>
      </w:r>
      <w:r w:rsidRPr="00E961FE">
        <w:rPr>
          <w:rFonts w:ascii="Verdana" w:hAnsi="Verdana"/>
          <w:b/>
          <w:sz w:val="32"/>
          <w:szCs w:val="32"/>
        </w:rPr>
        <w:instrText xml:space="preserve"> IF </w:instrText>
      </w:r>
      <w:r w:rsidR="00447C78">
        <w:rPr>
          <w:rFonts w:ascii="Verdana" w:hAnsi="Verdana"/>
          <w:b/>
          <w:noProof/>
          <w:sz w:val="32"/>
          <w:szCs w:val="32"/>
        </w:rPr>
        <w:instrText>ZOOM</w:instrText>
      </w:r>
      <w:r w:rsidRPr="00E961FE">
        <w:rPr>
          <w:rFonts w:ascii="Verdana" w:hAnsi="Verdana"/>
          <w:b/>
          <w:sz w:val="32"/>
          <w:szCs w:val="32"/>
        </w:rPr>
        <w:instrText xml:space="preserve"> = "" "" "</w:instrText>
      </w:r>
    </w:p>
    <w:p w:rsidR="00447C78" w:rsidRPr="00E961FE" w:rsidP="0030050C">
      <w:pPr>
        <w:spacing w:line="276" w:lineRule="auto"/>
        <w:jc w:val="center"/>
        <w:rPr>
          <w:rFonts w:ascii="Verdana" w:hAnsi="Verdana"/>
          <w:b/>
          <w:noProof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instrText>ZOOM</w:instrText>
      </w:r>
      <w:r w:rsidRPr="00E961FE">
        <w:rPr>
          <w:rFonts w:ascii="Verdana" w:hAnsi="Verdana"/>
          <w:b/>
          <w:sz w:val="32"/>
          <w:szCs w:val="32"/>
        </w:rPr>
        <w:instrText xml:space="preserve">" </w:instrText>
      </w:r>
      <w:r>
        <w:rPr>
          <w:rFonts w:ascii="Verdana" w:hAnsi="Verdana"/>
          <w:b/>
          <w:sz w:val="32"/>
          <w:szCs w:val="32"/>
        </w:rPr>
        <w:fldChar w:fldCharType="separate"/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="00447C78">
        <w:rPr>
          <w:rFonts w:ascii="Verdana" w:hAnsi="Verdana"/>
          <w:b/>
          <w:noProof/>
          <w:sz w:val="32"/>
          <w:szCs w:val="32"/>
        </w:rPr>
        <w:t>ZOOM</w:t>
      </w:r>
      <w:r w:rsidRPr="00E961FE">
        <w:rPr>
          <w:rFonts w:ascii="Verdana" w:hAnsi="Verdana"/>
          <w:b/>
          <w:sz w:val="32"/>
          <w:szCs w:val="32"/>
        </w:rPr>
        <w:fldChar w:fldCharType="end"/>
      </w:r>
    </w:p>
    <w:p w:rsidR="005D2A16" w:rsidRPr="009838F7" w:rsidP="0030050C">
      <w:pPr>
        <w:spacing w:line="276" w:lineRule="auto"/>
        <w:rPr>
          <w:rFonts w:ascii="Verdana" w:hAnsi="Verdana"/>
          <w:sz w:val="20"/>
          <w:szCs w:val="22"/>
          <w:vertAlign w:val="superscript"/>
        </w:rPr>
      </w:pPr>
    </w:p>
    <w:p w:rsidR="005D2A16" w:rsidP="0030050C">
      <w:pPr>
        <w:rPr>
          <w:rFonts w:ascii="Verdana" w:hAnsi="Verdana"/>
          <w:i/>
          <w:iCs/>
          <w:color w:val="0098C3"/>
        </w:rPr>
      </w:pPr>
    </w:p>
    <w:p w:rsidR="005D2A16" w:rsidP="0030050C">
      <w:pPr>
        <w:rPr>
          <w:rFonts w:ascii="Verdana" w:hAnsi="Verdana"/>
          <w:i/>
          <w:szCs w:val="26"/>
        </w:rPr>
      </w:pPr>
      <w:r w:rsidRPr="009838F7">
        <w:rPr>
          <w:rFonts w:ascii="Verdana" w:hAnsi="Verdana"/>
          <w:b/>
          <w:szCs w:val="26"/>
        </w:rPr>
        <w:t>Learning Objectives:</w:t>
      </w:r>
      <w:r w:rsidRPr="009838F7">
        <w:rPr>
          <w:rFonts w:ascii="Verdana" w:hAnsi="Verdana"/>
          <w:szCs w:val="26"/>
        </w:rPr>
        <w:t xml:space="preserve">  </w:t>
      </w:r>
      <w:r w:rsidRPr="009838F7">
        <w:rPr>
          <w:rFonts w:ascii="Verdana" w:hAnsi="Verdana"/>
          <w:i/>
          <w:szCs w:val="26"/>
        </w:rPr>
        <w:t xml:space="preserve">As a result of participating in this </w:t>
      </w:r>
      <w:r w:rsidR="00447C78">
        <w:rPr>
          <w:rFonts w:ascii="Verdana" w:hAnsi="Verdana"/>
          <w:i/>
          <w:noProof/>
          <w:szCs w:val="26"/>
        </w:rPr>
        <w:t>Live Activity</w:t>
      </w:r>
      <w:r w:rsidRPr="009838F7">
        <w:rPr>
          <w:rFonts w:ascii="Verdana" w:hAnsi="Verdana"/>
          <w:i/>
          <w:szCs w:val="26"/>
        </w:rPr>
        <w:t>, participants should be able to: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 w:rsidR="00447C78">
        <w:rPr>
          <w:rFonts w:ascii="Verdana" w:hAnsi="Verdana"/>
          <w:i/>
          <w:noProof/>
          <w:szCs w:val="26"/>
        </w:rPr>
        <w:t>1 Discuss</w:t>
      </w:r>
      <w:r>
        <w:rPr>
          <w:rFonts w:ascii="Verdana" w:hAnsi="Verdana"/>
          <w:i/>
          <w:szCs w:val="26"/>
        </w:rPr>
        <w:t xml:space="preserve"> prevention, monitoring and treatment strategies basal cell and squamous cell skin cancer 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2 Describe the role of surgery in management of melanoma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3 Define new immunotherapy and targeted treatments for melanoma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4 Articulate skin cancer therapy adverse effects and their management</w:t>
      </w:r>
    </w:p>
    <w:p w:rsidR="005D2A16" w:rsidRPr="00C93D3E" w:rsidP="0030050C">
      <w:pPr>
        <w:jc w:val="center"/>
        <w:rPr>
          <w:rFonts w:ascii="Verdana" w:hAnsi="Verdana"/>
          <w:color w:val="D2492A"/>
          <w:sz w:val="28"/>
        </w:rPr>
      </w:pPr>
    </w:p>
    <w:p w:rsidR="005D2A16" w:rsidRPr="00E961FE" w:rsidP="0030050C">
      <w:pPr>
        <w:ind w:right="-45"/>
        <w:rPr>
          <w:sz w:val="20"/>
          <w:szCs w:val="20"/>
        </w:rPr>
      </w:pPr>
    </w:p>
    <w:p w:rsidR="005D2A16" w:rsidRPr="00E961FE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Accreditation Statement:  </w:t>
      </w:r>
      <w:r w:rsidRPr="00E961FE">
        <w:rPr>
          <w:rFonts w:ascii="Verdana" w:eastAsia="Times New Roman" w:hAnsi="Verdana"/>
          <w:sz w:val="20"/>
          <w:szCs w:val="20"/>
        </w:rPr>
        <w:t>In support of improving patient care, Hartford HealthCare is jointly accredited by the Accreditation Council for Continuing Medical Education (ACCME), the Accreditation Council for Pharmacy Education (ACPE), and the American Nur</w:t>
      </w:r>
      <w:r w:rsidR="009A3E9A">
        <w:rPr>
          <w:rFonts w:ascii="Verdana" w:eastAsia="Times New Roman" w:hAnsi="Verdana"/>
          <w:sz w:val="20"/>
          <w:szCs w:val="20"/>
        </w:rPr>
        <w:t>ses Credentialing Center (ANCC)</w:t>
      </w:r>
      <w:r w:rsidRPr="00E961FE">
        <w:rPr>
          <w:rFonts w:ascii="Verdana" w:eastAsia="Times New Roman" w:hAnsi="Verdana"/>
          <w:sz w:val="20"/>
          <w:szCs w:val="20"/>
        </w:rPr>
        <w:t xml:space="preserve"> to provide continuing education for the healthcare team.</w:t>
      </w:r>
    </w:p>
    <w:p w:rsidR="005D2A16" w:rsidRPr="00E961FE" w:rsidP="0030050C">
      <w:pPr>
        <w:ind w:right="-45"/>
        <w:rPr>
          <w:rFonts w:ascii="Verdana" w:eastAsia="Times New Roman" w:hAnsi="Verdana"/>
          <w:sz w:val="16"/>
          <w:szCs w:val="20"/>
        </w:rPr>
      </w:pPr>
    </w:p>
    <w:p w:rsidR="005D2A16" w:rsidRPr="00E961FE" w:rsidP="0030050C">
      <w:pPr>
        <w:ind w:right="-45"/>
        <w:rPr>
          <w:rFonts w:ascii="Verdana" w:hAnsi="Verdana"/>
          <w:bCs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Credit Designation Statement:  </w: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="00447C78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was planned by and for the healthcare team, and learners will receive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«IPCEHoursMax»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="00447C78">
        <w:rPr>
          <w:rFonts w:ascii="Verdana" w:hAnsi="Verdana"/>
          <w:bCs/>
          <w:noProof/>
          <w:sz w:val="20"/>
          <w:szCs w:val="20"/>
        </w:rPr>
        <w:instrText>4.00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"Hartford Healt</w:instrText>
      </w:r>
      <w:r w:rsidR="00447C78">
        <w:rPr>
          <w:rFonts w:ascii="Verdana" w:hAnsi="Verdana"/>
          <w:bCs/>
          <w:sz w:val="20"/>
          <w:szCs w:val="20"/>
        </w:rPr>
        <w:instrText>h</w:instrText>
      </w:r>
      <w:r w:rsidRPr="00E961FE">
        <w:rPr>
          <w:rFonts w:ascii="Verdana" w:hAnsi="Verdana"/>
          <w:bCs/>
          <w:sz w:val="20"/>
          <w:szCs w:val="20"/>
        </w:rPr>
        <w:instrText xml:space="preserve">care designates this </w:instrText>
      </w:r>
      <w:r w:rsidRPr="00E961FE">
        <w:rPr>
          <w:rFonts w:ascii="Verdana" w:hAnsi="Verdana"/>
          <w:bCs/>
          <w:noProof/>
          <w:sz w:val="20"/>
          <w:szCs w:val="20"/>
        </w:rPr>
        <w:instrText>Live Activity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4.00</w:instrText>
      </w:r>
      <w:r w:rsidRPr="00E961FE">
        <w:rPr>
          <w:rFonts w:ascii="Verdana" w:hAnsi="Verdana"/>
          <w:bCs/>
          <w:sz w:val="20"/>
          <w:szCs w:val="20"/>
        </w:rPr>
        <w:instrText xml:space="preserve"> </w:instrText>
      </w:r>
      <w:r w:rsidRPr="00E961FE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Pr="00E961FE">
        <w:rPr>
          <w:rFonts w:ascii="Verdana" w:hAnsi="Verdana"/>
          <w:bCs/>
          <w:sz w:val="20"/>
          <w:szCs w:val="20"/>
        </w:rPr>
        <w:instrText xml:space="preserve">.  Physicians should only claim credit commensurate with their participation.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>Hartford Healt</w:t>
      </w:r>
      <w:r w:rsidR="00447C78">
        <w:rPr>
          <w:rFonts w:ascii="Verdana" w:hAnsi="Verdana"/>
          <w:bCs/>
          <w:sz w:val="20"/>
          <w:szCs w:val="20"/>
        </w:rPr>
        <w:t>h</w:t>
      </w:r>
      <w:r w:rsidRPr="00E961FE">
        <w:rPr>
          <w:rFonts w:ascii="Verdana" w:hAnsi="Verdana"/>
          <w:bCs/>
          <w:sz w:val="20"/>
          <w:szCs w:val="20"/>
        </w:rPr>
        <w:t xml:space="preserve">care designates this </w:t>
      </w:r>
      <w:r w:rsidRPr="00E961FE">
        <w:rPr>
          <w:rFonts w:ascii="Verdana" w:hAnsi="Verdana"/>
          <w:bCs/>
          <w:noProof/>
          <w:sz w:val="20"/>
          <w:szCs w:val="20"/>
        </w:rPr>
        <w:t>Live Activity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4.00</w:t>
      </w:r>
      <w:r w:rsidRPr="00E961FE">
        <w:rPr>
          <w:rFonts w:ascii="Verdana" w:hAnsi="Verdana"/>
          <w:bCs/>
          <w:sz w:val="20"/>
          <w:szCs w:val="20"/>
        </w:rPr>
        <w:t xml:space="preserve"> </w:t>
      </w:r>
      <w:r w:rsidRPr="00E961FE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Pr="00E961FE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="00447C78">
        <w:rPr>
          <w:rFonts w:ascii="Verdana" w:hAnsi="Verdana"/>
          <w:bCs/>
          <w:noProof/>
          <w:sz w:val="20"/>
          <w:szCs w:val="20"/>
        </w:rPr>
        <w:instrText>4.00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</w:instrText>
      </w:r>
      <w:r w:rsidR="00447C78">
        <w:rPr>
          <w:rFonts w:ascii="Verdana" w:hAnsi="Verdana"/>
          <w:bCs/>
          <w:sz w:val="20"/>
          <w:szCs w:val="20"/>
        </w:rPr>
        <w:instrText xml:space="preserve"> approved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4.00</w:instrText>
      </w:r>
      <w:r w:rsidRPr="00E961FE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>This activity is</w:t>
      </w:r>
      <w:r w:rsidR="00447C78">
        <w:rPr>
          <w:rFonts w:ascii="Verdana" w:hAnsi="Verdana"/>
          <w:bCs/>
          <w:sz w:val="20"/>
          <w:szCs w:val="20"/>
        </w:rPr>
        <w:t xml:space="preserve"> approved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4.00</w:t>
      </w:r>
      <w:r w:rsidRPr="00E961FE">
        <w:rPr>
          <w:rFonts w:ascii="Verdana" w:hAnsi="Verdana"/>
          <w:bCs/>
          <w:sz w:val="20"/>
          <w:szCs w:val="20"/>
        </w:rPr>
        <w:t xml:space="preserve"> ANCC contact hour(s).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="00447C78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approved for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ACPEHoursMax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«ACPEHoursMax»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</w:p>
    <w:p w:rsidR="00E961FE" w:rsidRPr="00E961FE" w:rsidP="0030050C">
      <w:pPr>
        <w:tabs>
          <w:tab w:val="left" w:pos="1530"/>
          <w:tab w:val="left" w:pos="10058"/>
        </w:tabs>
        <w:ind w:right="-1278"/>
        <w:rPr>
          <w:sz w:val="16"/>
        </w:rPr>
      </w:pPr>
    </w:p>
    <w:p w:rsidR="00E961FE" w:rsidRPr="00E961FE" w:rsidP="00E961FE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Financial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Andrew Salner, MD, FACR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Paid consultant-Best Doctors - 04/18/2022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Timothy Boyd,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- 01/28/2022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Kristi Dubey, APRN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Omar Eton,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Hao Feng,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Fee-Cytrellis|Consulting Fee-Soliton - 01/12/2022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Dean George,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Merrick I Ross,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support-Amgen, Inc.|Consulting Fee-Amgen, Inc.|Membership on Advisory Committees or Review Panels, Board Membership, etc.-Merck (Any division) - 01/28/2022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Frank Santoro,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Honoraria-Sanofi S.A. (Relationship has ended) - 01/18/2022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Alexander Shoushtari,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Fee-Bristol-Myers Squibb Company|Consulting Fee-Immunocore|Consulting Fee-Novartis Corporation Pharmaceuticals|Grant or research support-Bristol-Myers Squibb Company|Grant or research support-Immunocore|Grant or research support-Novartis Corporation Pharmaceuticals|Grant or research support-Targovax ASA (Relationship has ended)|Grant or research support-Xcovery (Relationship has ended)|Grant or research support-Polaris (Relationship has ended)|Grant or research support-Checkmate Pharmaceuticals|Grant or research support-Foghorn Therapeutics|Grant or research support-Pfizer (Any division) - 02/24/2022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Ryan Sullivan,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Advisor-Merck (Any division)|Advisor-Novartis Corporation Pharmaceuticals|Advisor-Pfizer (Any division)|Advisor-Bristol-Myers Squibb Company|Consulting Fee-Eisai, Inc. (Relationship has ended)|Consulting Fee-OncoSec (Relationship has ended)|Consulting Fee-Iovance (Relationship has ended) - 01/13/2022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Eanniello, 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- 01/12/2022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Robin Jascowski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- 04/18/2022</w:t>
            </w:r>
          </w:p>
        </w:tc>
      </w:tr>
    </w:tbl>
    <w:p w:rsidR="00E961FE" w:rsidRPr="00E961FE">
      <w:pPr>
        <w:bidi w:val="0"/>
        <w:spacing w:after="280" w:afterAutospacing="1"/>
        <w:rPr>
          <w:rFonts w:ascii="Verdana" w:hAnsi="Verdana"/>
          <w:color w:val="505150"/>
          <w:sz w:val="18"/>
          <w:szCs w:val="20"/>
        </w:rPr>
      </w:pPr>
    </w:p>
    <w:p w:rsidR="005A6F92" w:rsidP="0030050C">
      <w:pPr>
        <w:tabs>
          <w:tab w:val="left" w:pos="1530"/>
          <w:tab w:val="left" w:pos="10058"/>
        </w:tabs>
        <w:ind w:right="-1278"/>
      </w:pPr>
      <w:r>
        <w:rPr>
          <w:rFonts w:ascii="Verdana" w:eastAsia="Times New Roman" w:hAnsi="Verdana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ge">
              <wp:posOffset>8568267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Sect="0039016A">
      <w:footerReference w:type="default" r:id="rId6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42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6609E6"/>
    <w:multiLevelType w:val="hybridMultilevel"/>
    <w:tmpl w:val="C262B4C0"/>
    <w:lvl w:ilvl="0">
      <w:start w:val="1"/>
      <w:numFmt w:val="decimal"/>
      <w:lvlText w:val="%1."/>
      <w:lvlJc w:val="left"/>
      <w:pPr>
        <w:ind w:left="99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EmbedSmartTags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AFEFC-1E82-4360-B3CC-E59441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 Millard</cp:lastModifiedBy>
  <cp:revision>6</cp:revision>
  <cp:lastPrinted>2020-08-05T18:15:00Z</cp:lastPrinted>
  <dcterms:created xsi:type="dcterms:W3CDTF">2020-10-23T14:11:00Z</dcterms:created>
  <dcterms:modified xsi:type="dcterms:W3CDTF">2021-11-02T20:32:00Z</dcterms:modified>
</cp:coreProperties>
</file>