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D2A16" w:rsidRPr="009838F7" w:rsidP="0030050C">
      <w:pPr>
        <w:jc w:val="center"/>
        <w:rPr>
          <w:rFonts w:ascii="Verdana" w:hAnsi="Verdana"/>
          <w:b/>
          <w:color w:val="D2492A"/>
          <w:sz w:val="36"/>
        </w:rPr>
      </w:pPr>
      <w:r>
        <w:t xml:space="preserve"> </w:t>
      </w:r>
      <w:r>
        <w:rPr>
          <w:rFonts w:ascii="Verdana" w:hAnsi="Verdana"/>
          <w:b/>
          <w:noProof/>
          <w:color w:val="D2492A"/>
          <w:sz w:val="52"/>
        </w:rPr>
        <w:t>3rd Annual</w:t>
      </w:r>
      <w:r>
        <w:rPr>
          <w:rFonts w:ascii="Verdana" w:hAnsi="Verdana"/>
          <w:b/>
          <w:color w:val="D2492A"/>
          <w:sz w:val="52"/>
        </w:rPr>
        <w:t xml:space="preserve"> Pharmaceutical Symposium for Advanced Practitioners</w:t>
      </w:r>
    </w:p>
    <w:p w:rsidR="005D2A16" w:rsidRPr="00B93FCE" w:rsidP="0030050C">
      <w:pPr>
        <w:jc w:val="center"/>
        <w:rPr>
          <w:rFonts w:ascii="Verdana" w:hAnsi="Verdana"/>
          <w:color w:val="000000" w:themeColor="text1"/>
          <w:sz w:val="6"/>
          <w:szCs w:val="12"/>
        </w:rPr>
      </w:pPr>
    </w:p>
    <w:p w:rsidR="005D2A16" w:rsidP="0030050C">
      <w:pPr>
        <w:jc w:val="center"/>
        <w:rPr>
          <w:rFonts w:ascii="Lucida Handwriting" w:hAnsi="Lucida Handwriting"/>
          <w:color w:val="000000" w:themeColor="text1"/>
          <w:sz w:val="16"/>
          <w:szCs w:val="12"/>
        </w:rPr>
      </w:pPr>
      <w:r w:rsidRPr="009838F7">
        <w:rPr>
          <w:rFonts w:ascii="Lucida Handwriting" w:hAnsi="Lucida Handwriting"/>
          <w:color w:val="000000" w:themeColor="text1"/>
          <w:sz w:val="16"/>
          <w:szCs w:val="12"/>
        </w:rPr>
        <w:t>presented by</w:t>
      </w:r>
    </w:p>
    <w:p w:rsidR="005D2A16" w:rsidRPr="00B93FCE" w:rsidP="0030050C">
      <w:pPr>
        <w:jc w:val="center"/>
        <w:rPr>
          <w:rFonts w:ascii="Lucida Handwriting" w:hAnsi="Lucida Handwriting"/>
          <w:color w:val="000000" w:themeColor="text1"/>
          <w:sz w:val="6"/>
          <w:szCs w:val="12"/>
        </w:rPr>
      </w:pPr>
    </w:p>
    <w:p w:rsidR="005D2A16" w:rsidRPr="009838F7" w:rsidP="0030050C">
      <w:pPr>
        <w:jc w:val="center"/>
        <w:rPr>
          <w:rFonts w:ascii="Verdana" w:hAnsi="Verdana"/>
          <w:color w:val="000000" w:themeColor="text1"/>
          <w:sz w:val="4"/>
          <w:szCs w:val="12"/>
        </w:rPr>
      </w:pPr>
    </w:p>
    <w:p w:rsidR="00E961FE" w:rsidP="0030050C">
      <w:pPr>
        <w:jc w:val="center"/>
        <w:rPr>
          <w:rFonts w:ascii="Verdana" w:hAnsi="Verdana"/>
          <w:b/>
          <w:color w:val="D2492A"/>
          <w:sz w:val="36"/>
        </w:rPr>
      </w:pPr>
      <w:r>
        <w:rPr>
          <w:rFonts w:ascii="Verdana" w:hAnsi="Verdana"/>
          <w:b/>
          <w:noProof/>
          <w:color w:val="D2492A"/>
          <w:sz w:val="36"/>
        </w:rPr>
        <w:t>Jennifer Ferrand</w:t>
      </w:r>
      <w:r>
        <w:rPr>
          <w:rFonts w:ascii="Verdana" w:hAnsi="Verdana"/>
          <w:b/>
          <w:color w:val="D2492A"/>
          <w:sz w:val="36"/>
        </w:rPr>
        <w:t>, PsyD; Colleen Teevan, PharmD; Laura Hobbs, Pharm.D; Andrew Salner, MD; Sean Jeffery, PharmD; Christina Polomoff, PharmD; Anne Lin, PharmD; Matthew S Thaller, R.Ph.; Allison Gorseth, PharmD; Heather Kutzler, PharmD</w:t>
      </w:r>
    </w:p>
    <w:p w:rsidR="005D2A16" w:rsidP="0030050C">
      <w:pPr>
        <w:jc w:val="center"/>
        <w:rPr>
          <w:rFonts w:ascii="Verdana" w:hAnsi="Verdana"/>
          <w:b/>
          <w:color w:val="D2492A"/>
          <w:sz w:val="36"/>
        </w:rPr>
      </w:pPr>
      <w:r>
        <w:rPr>
          <w:rFonts w:ascii="Verdana" w:hAnsi="Verdana"/>
          <w:i/>
          <w:color w:val="D2492A"/>
          <w:sz w:val="36"/>
        </w:rPr>
        <w:fldChar w:fldCharType="begin"/>
      </w:r>
      <w:r>
        <w:rPr>
          <w:rFonts w:ascii="Verdana" w:hAnsi="Verdana"/>
          <w:i/>
          <w:color w:val="D2492A"/>
          <w:sz w:val="36"/>
        </w:rPr>
        <w:instrText xml:space="preserve"> IF </w:instrText>
      </w:r>
      <w:r>
        <w:rPr>
          <w:rFonts w:ascii="Verdana" w:hAnsi="Verdana"/>
          <w:i/>
          <w:noProof/>
          <w:color w:val="D2492A"/>
          <w:sz w:val="36"/>
        </w:rPr>
        <w:instrText>"</w:instrText>
      </w:r>
      <w:r>
        <w:rPr>
          <w:rFonts w:ascii="Verdana" w:hAnsi="Verdana"/>
          <w:i/>
          <w:noProof/>
          <w:color w:val="D2492A"/>
          <w:sz w:val="36"/>
        </w:rPr>
        <w:instrText>Zero Suicide</w:instrText>
      </w:r>
      <w:r>
        <w:rPr>
          <w:rFonts w:ascii="Verdana" w:hAnsi="Verdana"/>
          <w:i/>
          <w:color w:val="D2492A"/>
          <w:sz w:val="36"/>
        </w:rPr>
        <w:instrText xml:space="preserve">: Lessons Learned from our Implementation Journey </w:instrText>
      </w:r>
      <w:r>
        <w:rPr>
          <w:rFonts w:ascii="Verdana" w:hAnsi="Verdana"/>
          <w:i/>
          <w:color w:val="D2492A"/>
          <w:sz w:val="36"/>
        </w:rPr>
        <w:instrText>"</w:instrText>
      </w:r>
      <w:r>
        <w:rPr>
          <w:rFonts w:ascii="Verdana" w:hAnsi="Verdana"/>
          <w:i/>
          <w:color w:val="D2492A"/>
          <w:sz w:val="36"/>
        </w:rPr>
        <w:instrText xml:space="preserve">  = "" "</w:instrText>
      </w:r>
    </w:p>
    <w:p w:rsidR="005D2A16" w:rsidRPr="00C129C8" w:rsidP="0030050C">
      <w:pPr>
        <w:jc w:val="center"/>
        <w:rPr>
          <w:rFonts w:ascii="Verdana" w:hAnsi="Verdana"/>
          <w:i/>
          <w:color w:val="D2492A"/>
          <w:sz w:val="36"/>
        </w:rPr>
      </w:pPr>
      <w:r>
        <w:rPr>
          <w:rFonts w:ascii="Verdana" w:hAnsi="Verdana"/>
          <w:i/>
          <w:color w:val="D2492A"/>
          <w:sz w:val="36"/>
        </w:rPr>
        <w:fldChar w:fldCharType="begin"/>
      </w:r>
      <w:r>
        <w:rPr>
          <w:rFonts w:ascii="Verdana" w:hAnsi="Verdana"/>
          <w:i/>
          <w:color w:val="D2492A"/>
          <w:sz w:val="36"/>
        </w:rPr>
        <w:instrText xml:space="preserve"> MERGEFIELD  ProfessionalTitle  \* MERGEFORMAT </w:instrText>
      </w:r>
      <w:r>
        <w:rPr>
          <w:rFonts w:ascii="Verdana" w:hAnsi="Verdana"/>
          <w:i/>
          <w:color w:val="D2492A"/>
          <w:sz w:val="36"/>
        </w:rPr>
        <w:fldChar w:fldCharType="separate"/>
      </w:r>
      <w:r>
        <w:rPr>
          <w:rFonts w:ascii="Verdana" w:hAnsi="Verdana"/>
          <w:i/>
          <w:noProof/>
          <w:color w:val="D2492A"/>
          <w:sz w:val="36"/>
        </w:rPr>
        <w:instrText>«ProfessionalTitle»</w:instrText>
      </w:r>
      <w:r>
        <w:rPr>
          <w:rFonts w:ascii="Verdana" w:hAnsi="Verdana"/>
          <w:i/>
          <w:color w:val="D2492A"/>
          <w:sz w:val="36"/>
        </w:rPr>
        <w:fldChar w:fldCharType="end"/>
      </w:r>
      <w:r>
        <w:rPr>
          <w:rFonts w:ascii="Verdana" w:hAnsi="Verdana"/>
          <w:i/>
          <w:color w:val="D2492A"/>
          <w:sz w:val="36"/>
        </w:rPr>
        <w:instrText xml:space="preserve">" </w:instrText>
      </w:r>
      <w:r>
        <w:rPr>
          <w:rFonts w:ascii="Verdana" w:hAnsi="Verdana"/>
          <w:i/>
          <w:color w:val="D2492A"/>
          <w:sz w:val="36"/>
        </w:rPr>
        <w:fldChar w:fldCharType="separate"/>
      </w:r>
      <w:r>
        <w:rPr>
          <w:rFonts w:ascii="Verdana" w:hAnsi="Verdana"/>
          <w:i/>
          <w:color w:val="D2492A"/>
          <w:sz w:val="36"/>
        </w:rPr>
        <w:fldChar w:fldCharType="end"/>
      </w:r>
    </w:p>
    <w:p w:rsidR="005D2A16" w:rsidRPr="007D5704" w:rsidP="0030050C">
      <w:pPr>
        <w:spacing w:line="276" w:lineRule="auto"/>
        <w:jc w:val="center"/>
        <w:rPr>
          <w:rFonts w:ascii="Verdana" w:hAnsi="Verdana"/>
          <w:b/>
          <w:sz w:val="32"/>
          <w:szCs w:val="19"/>
        </w:rPr>
      </w:pPr>
      <w:r>
        <w:rPr>
          <w:rFonts w:ascii="Verdana" w:hAnsi="Verdana"/>
          <w:b/>
          <w:noProof/>
          <w:sz w:val="32"/>
          <w:szCs w:val="19"/>
        </w:rPr>
        <w:t xml:space="preserve">Friday, </w:t>
      </w:r>
      <w:r>
        <w:rPr>
          <w:rFonts w:ascii="Verdana" w:hAnsi="Verdana"/>
          <w:b/>
          <w:sz w:val="32"/>
          <w:szCs w:val="19"/>
        </w:rPr>
        <w:t>October 29, 2021</w:t>
      </w:r>
    </w:p>
    <w:p w:rsidR="00E961FE" w:rsidP="0030050C">
      <w:pPr>
        <w:spacing w:line="276" w:lineRule="auto"/>
        <w:jc w:val="center"/>
        <w:rPr>
          <w:rFonts w:ascii="Verdana" w:hAnsi="Verdana"/>
          <w:b/>
          <w:sz w:val="32"/>
          <w:szCs w:val="19"/>
        </w:rPr>
      </w:pPr>
      <w:r w:rsidR="0030050C">
        <w:rPr>
          <w:rFonts w:ascii="Verdana" w:hAnsi="Verdana"/>
          <w:b/>
          <w:noProof/>
          <w:sz w:val="32"/>
          <w:szCs w:val="19"/>
        </w:rPr>
        <w:t>7:30</w:t>
      </w:r>
      <w:r>
        <w:rPr>
          <w:rFonts w:ascii="Verdana" w:hAnsi="Verdana"/>
          <w:b/>
          <w:sz w:val="32"/>
          <w:szCs w:val="19"/>
        </w:rPr>
        <w:t xml:space="preserve"> AM</w:t>
      </w:r>
    </w:p>
    <w:p w:rsidR="005D2A16" w:rsidRPr="00E961FE" w:rsidP="0030050C">
      <w:pPr>
        <w:spacing w:line="276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t>Hartford Hospital</w:t>
      </w:r>
      <w:r>
        <w:rPr>
          <w:rFonts w:ascii="Verdana" w:hAnsi="Verdana"/>
          <w:b/>
          <w:sz w:val="32"/>
          <w:szCs w:val="32"/>
        </w:rPr>
        <w:t>, Heublein Hall</w:t>
      </w:r>
      <w:bookmarkStart w:id="0" w:name="_GoBack"/>
      <w:bookmarkEnd w:id="0"/>
      <w:r w:rsidRPr="00E961FE">
        <w:rPr>
          <w:rFonts w:ascii="Verdana" w:hAnsi="Verdana"/>
          <w:b/>
          <w:sz w:val="32"/>
          <w:szCs w:val="32"/>
        </w:rPr>
        <w:fldChar w:fldCharType="begin"/>
      </w:r>
      <w:r w:rsidRPr="00E961FE">
        <w:rPr>
          <w:rFonts w:ascii="Verdana" w:hAnsi="Verdana"/>
          <w:b/>
          <w:sz w:val="32"/>
          <w:szCs w:val="32"/>
        </w:rPr>
        <w:instrText xml:space="preserve"> IF </w:instrText>
      </w:r>
      <w:r w:rsidRPr="00E961FE">
        <w:rPr>
          <w:rFonts w:ascii="Verdana" w:hAnsi="Verdana"/>
          <w:b/>
          <w:noProof/>
          <w:sz w:val="32"/>
          <w:szCs w:val="32"/>
        </w:rPr>
        <w:instrText>"</w:instrText>
      </w:r>
      <w:r w:rsidRPr="00E961FE">
        <w:rPr>
          <w:rFonts w:ascii="Verdana" w:hAnsi="Verdana"/>
          <w:b/>
          <w:noProof/>
          <w:sz w:val="32"/>
          <w:szCs w:val="32"/>
        </w:rPr>
        <w:instrText>Hartford Hospital</w:instrText>
      </w:r>
      <w:r w:rsidRPr="00E961FE">
        <w:rPr>
          <w:rFonts w:ascii="Verdana" w:hAnsi="Verdana"/>
          <w:b/>
          <w:sz w:val="32"/>
          <w:szCs w:val="32"/>
        </w:rPr>
        <w:instrText>, Heublein Hall</w:instrText>
      </w:r>
      <w:r w:rsidRPr="00E961FE">
        <w:rPr>
          <w:rFonts w:ascii="Verdana" w:hAnsi="Verdana"/>
          <w:b/>
          <w:sz w:val="32"/>
          <w:szCs w:val="32"/>
        </w:rPr>
        <w:instrText>"</w:instrText>
      </w:r>
      <w:r w:rsidRPr="00E961FE">
        <w:rPr>
          <w:rFonts w:ascii="Verdana" w:hAnsi="Verdana"/>
          <w:b/>
          <w:sz w:val="32"/>
          <w:szCs w:val="32"/>
        </w:rPr>
        <w:instrText xml:space="preserve"> = "" "" "</w:instrText>
      </w:r>
    </w:p>
    <w:p w:rsidR="005D2A16" w:rsidRPr="00E961FE" w:rsidP="0030050C">
      <w:pPr>
        <w:spacing w:line="276" w:lineRule="auto"/>
        <w:jc w:val="center"/>
        <w:rPr>
          <w:rFonts w:ascii="Verdana" w:hAnsi="Verdana"/>
          <w:b/>
          <w:sz w:val="36"/>
          <w:szCs w:val="19"/>
        </w:rPr>
      </w:pPr>
      <w:r w:rsidRPr="00E961FE">
        <w:rPr>
          <w:rFonts w:ascii="Verdana" w:hAnsi="Verdana"/>
          <w:b/>
          <w:noProof/>
          <w:sz w:val="32"/>
          <w:szCs w:val="32"/>
        </w:rPr>
        <w:instrText>Hartford Hospital</w:instrText>
      </w:r>
      <w:r w:rsidRPr="00E961FE">
        <w:rPr>
          <w:rFonts w:ascii="Verdana" w:hAnsi="Verdana"/>
          <w:b/>
          <w:sz w:val="32"/>
          <w:szCs w:val="32"/>
        </w:rPr>
        <w:instrText>, Heublein Hall</w:instrText>
      </w:r>
      <w:r w:rsidRPr="00E961FE">
        <w:rPr>
          <w:rFonts w:ascii="Verdana" w:hAnsi="Verdana"/>
          <w:b/>
          <w:sz w:val="32"/>
          <w:szCs w:val="32"/>
        </w:rPr>
        <w:instrText xml:space="preserve">" </w:instrText>
      </w:r>
      <w:r w:rsidRPr="00E961FE">
        <w:rPr>
          <w:rFonts w:ascii="Verdana" w:hAnsi="Verdana"/>
          <w:b/>
          <w:sz w:val="32"/>
          <w:szCs w:val="32"/>
        </w:rPr>
        <w:fldChar w:fldCharType="separate"/>
      </w:r>
    </w:p>
    <w:p w:rsidRPr="00E961FE" w:rsidP="0030050C">
      <w:pPr>
        <w:spacing w:line="276" w:lineRule="auto"/>
        <w:jc w:val="center"/>
        <w:rPr>
          <w:rFonts w:ascii="Verdana" w:hAnsi="Verdana"/>
          <w:b/>
          <w:sz w:val="32"/>
          <w:szCs w:val="32"/>
        </w:rPr>
      </w:pPr>
      <w:r w:rsidRPr="00E961FE">
        <w:rPr>
          <w:rFonts w:ascii="Verdana" w:hAnsi="Verdana"/>
          <w:b/>
          <w:noProof/>
          <w:sz w:val="32"/>
          <w:szCs w:val="32"/>
        </w:rPr>
        <w:t>Hartford Hospital</w:t>
      </w:r>
      <w:r w:rsidRPr="00E961FE">
        <w:rPr>
          <w:rFonts w:ascii="Verdana" w:hAnsi="Verdana"/>
          <w:b/>
          <w:sz w:val="32"/>
          <w:szCs w:val="32"/>
        </w:rPr>
        <w:t>, Heublein Hall</w:t>
      </w:r>
      <w:r w:rsidRPr="00E961FE">
        <w:rPr>
          <w:rFonts w:ascii="Verdana" w:hAnsi="Verdana"/>
          <w:b/>
          <w:sz w:val="32"/>
          <w:szCs w:val="32"/>
        </w:rPr>
        <w:fldChar w:fldCharType="end"/>
      </w:r>
    </w:p>
    <w:p w:rsidR="005D2A16" w:rsidRPr="009838F7" w:rsidP="0030050C">
      <w:pPr>
        <w:spacing w:line="276" w:lineRule="auto"/>
        <w:rPr>
          <w:rFonts w:ascii="Verdana" w:hAnsi="Verdana"/>
          <w:sz w:val="20"/>
          <w:szCs w:val="22"/>
          <w:vertAlign w:val="superscript"/>
        </w:rPr>
      </w:pPr>
    </w:p>
    <w:p w:rsidR="005D2A16" w:rsidP="0030050C">
      <w:pPr>
        <w:rPr>
          <w:rFonts w:ascii="Verdana" w:hAnsi="Verdana"/>
          <w:i/>
          <w:iCs/>
          <w:color w:val="0098C3"/>
        </w:rPr>
      </w:pPr>
    </w:p>
    <w:p w:rsidR="005D2A16" w:rsidP="0030050C">
      <w:pPr>
        <w:rPr>
          <w:rFonts w:ascii="Verdana" w:hAnsi="Verdana"/>
          <w:i/>
          <w:szCs w:val="26"/>
        </w:rPr>
      </w:pPr>
      <w:r w:rsidRPr="009838F7">
        <w:rPr>
          <w:rFonts w:ascii="Verdana" w:hAnsi="Verdana"/>
          <w:b/>
          <w:szCs w:val="26"/>
        </w:rPr>
        <w:t>Learning Objectives:</w:t>
      </w:r>
      <w:r w:rsidRPr="009838F7">
        <w:rPr>
          <w:rFonts w:ascii="Verdana" w:hAnsi="Verdana"/>
          <w:szCs w:val="26"/>
        </w:rPr>
        <w:t xml:space="preserve">  </w:t>
      </w:r>
      <w:r w:rsidRPr="009838F7">
        <w:rPr>
          <w:rFonts w:ascii="Verdana" w:hAnsi="Verdana"/>
          <w:i/>
          <w:szCs w:val="26"/>
        </w:rPr>
        <w:t xml:space="preserve">As a result of participating in this </w:t>
      </w:r>
      <w:r>
        <w:rPr>
          <w:rFonts w:ascii="Verdana" w:hAnsi="Verdana"/>
          <w:i/>
          <w:noProof/>
          <w:szCs w:val="26"/>
        </w:rPr>
        <w:t>Live Activity</w:t>
      </w:r>
      <w:r w:rsidRPr="009838F7">
        <w:rPr>
          <w:rFonts w:ascii="Verdana" w:hAnsi="Verdana"/>
          <w:i/>
          <w:szCs w:val="26"/>
        </w:rPr>
        <w:t>, participants should be able to:</w:t>
      </w:r>
    </w:p>
    <w:p w:rsidR="005D2A16" w:rsidRPr="00052A60"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noProof/>
          <w:szCs w:val="26"/>
        </w:rPr>
        <w:t>1 Apply</w:t>
      </w:r>
      <w:r>
        <w:rPr>
          <w:rFonts w:ascii="Verdana" w:hAnsi="Verdana"/>
          <w:i/>
          <w:szCs w:val="26"/>
        </w:rPr>
        <w:t xml:space="preserve"> currently recommended guidelines when prescribing antibiotics, anticoagulants, and oral diabetes medications.</w:t>
      </w:r>
    </w:p>
    <w:p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szCs w:val="26"/>
        </w:rPr>
        <w:t>2 Differentiate between crystalloids and colloids ,including when to use each</w:t>
      </w:r>
    </w:p>
    <w:p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szCs w:val="26"/>
        </w:rPr>
        <w:t>3 Review the basics of immunosuppression</w:t>
      </w:r>
    </w:p>
    <w:p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szCs w:val="26"/>
        </w:rPr>
        <w:t>4 Utilize medications in labor and delivery safely and accurately</w:t>
      </w:r>
    </w:p>
    <w:p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szCs w:val="26"/>
        </w:rPr>
        <w:t>5 Prescribe medical marijuana in accordance to state guidelines</w:t>
      </w:r>
    </w:p>
    <w:p w:rsidR="005D2A16" w:rsidRPr="00052A60"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szCs w:val="26"/>
        </w:rPr>
        <w:t>6 Apply techniques and options to support individual provider wellness</w:t>
      </w:r>
    </w:p>
    <w:p w:rsidR="005D2A16" w:rsidRPr="00C93D3E" w:rsidP="0030050C">
      <w:pPr>
        <w:jc w:val="center"/>
        <w:rPr>
          <w:rFonts w:ascii="Verdana" w:hAnsi="Verdana"/>
          <w:color w:val="D2492A"/>
          <w:sz w:val="28"/>
        </w:rPr>
      </w:pPr>
    </w:p>
    <w:p w:rsidR="005D2A16" w:rsidRPr="00E961FE" w:rsidP="0030050C">
      <w:pPr>
        <w:ind w:right="-45"/>
        <w:rPr>
          <w:sz w:val="20"/>
          <w:szCs w:val="20"/>
        </w:rPr>
      </w:pPr>
    </w:p>
    <w:p w:rsidR="005D2A16" w:rsidRPr="00E961FE" w:rsidP="0030050C">
      <w:pPr>
        <w:ind w:right="-45"/>
        <w:rPr>
          <w:rFonts w:ascii="Verdana" w:eastAsia="Times New Roman" w:hAnsi="Verdana"/>
          <w:sz w:val="20"/>
          <w:szCs w:val="20"/>
        </w:rPr>
      </w:pPr>
      <w:r w:rsidRPr="00E961FE">
        <w:rPr>
          <w:rFonts w:ascii="Verdana" w:hAnsi="Verdana"/>
          <w:b/>
          <w:sz w:val="20"/>
          <w:szCs w:val="20"/>
        </w:rPr>
        <w:t xml:space="preserve">Accreditation Statement:  </w:t>
      </w:r>
      <w:r w:rsidRPr="00E961FE">
        <w:rPr>
          <w:rFonts w:ascii="Verdana" w:eastAsia="Times New Roman" w:hAnsi="Verdana"/>
          <w:sz w:val="20"/>
          <w:szCs w:val="20"/>
        </w:rPr>
        <w:t>In support of improving patient care, Hartford HealthCare is jointly accredited by the Accreditation Council for Continuing Medical Education (ACCME), the Accreditation Council for Pharmacy Education (ACPE), and the American Nur</w:t>
      </w:r>
      <w:r w:rsidR="009A3E9A">
        <w:rPr>
          <w:rFonts w:ascii="Verdana" w:eastAsia="Times New Roman" w:hAnsi="Verdana"/>
          <w:sz w:val="20"/>
          <w:szCs w:val="20"/>
        </w:rPr>
        <w:t>ses Credentialing Center (ANCC)</w:t>
      </w:r>
      <w:r w:rsidRPr="00E961FE">
        <w:rPr>
          <w:rFonts w:ascii="Verdana" w:eastAsia="Times New Roman" w:hAnsi="Verdana"/>
          <w:sz w:val="20"/>
          <w:szCs w:val="20"/>
        </w:rPr>
        <w:t xml:space="preserve"> to provide continuing education for the healthcare team.</w:t>
      </w:r>
    </w:p>
    <w:p w:rsidR="005D2A16" w:rsidRPr="00E961FE" w:rsidP="0030050C">
      <w:pPr>
        <w:ind w:right="-45"/>
        <w:rPr>
          <w:rFonts w:ascii="Verdana" w:eastAsia="Times New Roman" w:hAnsi="Verdana"/>
          <w:sz w:val="16"/>
          <w:szCs w:val="20"/>
        </w:rPr>
      </w:pPr>
    </w:p>
    <w:p w:rsidR="005D2A16" w:rsidRPr="00E961FE" w:rsidP="0030050C">
      <w:pPr>
        <w:ind w:right="-45"/>
        <w:rPr>
          <w:rFonts w:ascii="Verdana" w:hAnsi="Verdana"/>
          <w:bCs/>
          <w:sz w:val="20"/>
          <w:szCs w:val="20"/>
        </w:rPr>
      </w:pPr>
      <w:r w:rsidRPr="00E961FE">
        <w:rPr>
          <w:rFonts w:ascii="Verdana" w:hAnsi="Verdana"/>
          <w:b/>
          <w:sz w:val="20"/>
          <w:szCs w:val="20"/>
        </w:rPr>
        <w:t xml:space="preserve">Credit Designation Statement:  </w:t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Pr="00E961FE">
        <w:rPr>
          <w:rFonts w:ascii="Verdana" w:hAnsi="Verdana"/>
          <w:bCs/>
          <w:noProof/>
          <w:sz w:val="20"/>
          <w:szCs w:val="20"/>
        </w:rPr>
        <w:instrText>0.00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"This activity was planned by and for the healthcare team, and learners will receive </w:instrText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MERGEFIELD  IPCEHoursMax  \* MERGEFORMAT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noProof/>
          <w:sz w:val="20"/>
          <w:szCs w:val="20"/>
        </w:rPr>
        <w:instrText>«IPCEHoursMax»</w:instrTex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instrText xml:space="preserve"> Interprofessional Continuing Education(IPCE) credit for learning and change.  " ""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Pr="00E961FE">
        <w:rPr>
          <w:rFonts w:ascii="Verdana" w:hAnsi="Verdana"/>
          <w:bCs/>
          <w:noProof/>
          <w:sz w:val="20"/>
          <w:szCs w:val="20"/>
        </w:rPr>
        <w:instrText>8.25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"Hartford Healtcare designates this </w:instrText>
      </w:r>
      <w:r w:rsidRPr="00E961FE">
        <w:rPr>
          <w:rFonts w:ascii="Verdana" w:hAnsi="Verdana"/>
          <w:bCs/>
          <w:noProof/>
          <w:sz w:val="20"/>
          <w:szCs w:val="20"/>
        </w:rPr>
        <w:instrText>Live Activity</w:instrText>
      </w:r>
      <w:r w:rsidRPr="00E961FE">
        <w:rPr>
          <w:rFonts w:ascii="Verdana" w:hAnsi="Verdana"/>
          <w:bCs/>
          <w:sz w:val="20"/>
          <w:szCs w:val="20"/>
        </w:rPr>
        <w:instrText xml:space="preserve"> for </w:instrText>
      </w:r>
      <w:r w:rsidRPr="00E961FE">
        <w:rPr>
          <w:rFonts w:ascii="Verdana" w:hAnsi="Verdana"/>
          <w:bCs/>
          <w:noProof/>
          <w:sz w:val="20"/>
          <w:szCs w:val="20"/>
        </w:rPr>
        <w:instrText>8.25</w:instrText>
      </w:r>
      <w:r w:rsidRPr="00E961FE">
        <w:rPr>
          <w:rFonts w:ascii="Verdana" w:hAnsi="Verdana"/>
          <w:bCs/>
          <w:sz w:val="20"/>
          <w:szCs w:val="20"/>
        </w:rPr>
        <w:instrText xml:space="preserve"> </w:instrText>
      </w:r>
      <w:r w:rsidRPr="00E961FE">
        <w:rPr>
          <w:rFonts w:ascii="Verdana" w:hAnsi="Verdana"/>
          <w:bCs/>
          <w:i/>
          <w:iCs/>
          <w:sz w:val="20"/>
          <w:szCs w:val="20"/>
        </w:rPr>
        <w:instrText>AMA PRA Category 1 Credit(s)</w:instrText>
      </w:r>
      <w:r w:rsidRPr="00E961FE">
        <w:rPr>
          <w:rFonts w:ascii="Verdana" w:hAnsi="Verdana"/>
          <w:bCs/>
          <w:i/>
          <w:iCs/>
          <w:sz w:val="20"/>
          <w:szCs w:val="20"/>
          <w:vertAlign w:val="superscript"/>
        </w:rPr>
        <w:instrText>TM</w:instrText>
      </w:r>
      <w:r w:rsidRPr="00E961FE">
        <w:rPr>
          <w:rFonts w:ascii="Verdana" w:hAnsi="Verdana"/>
          <w:bCs/>
          <w:sz w:val="20"/>
          <w:szCs w:val="20"/>
        </w:rPr>
        <w:instrText xml:space="preserve">.  Physicians should only claim credit commensurate with their participation.  " ""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sz w:val="20"/>
          <w:szCs w:val="20"/>
        </w:rPr>
        <w:t xml:space="preserve">Hartford Healtcare designates this </w:t>
      </w:r>
      <w:r w:rsidRPr="00E961FE">
        <w:rPr>
          <w:rFonts w:ascii="Verdana" w:hAnsi="Verdana"/>
          <w:bCs/>
          <w:noProof/>
          <w:sz w:val="20"/>
          <w:szCs w:val="20"/>
        </w:rPr>
        <w:t>Live Activity</w:t>
      </w:r>
      <w:r w:rsidRPr="00E961FE">
        <w:rPr>
          <w:rFonts w:ascii="Verdana" w:hAnsi="Verdana"/>
          <w:bCs/>
          <w:sz w:val="20"/>
          <w:szCs w:val="20"/>
        </w:rPr>
        <w:t xml:space="preserve"> for </w:t>
      </w:r>
      <w:r w:rsidRPr="00E961FE">
        <w:rPr>
          <w:rFonts w:ascii="Verdana" w:hAnsi="Verdana"/>
          <w:bCs/>
          <w:noProof/>
          <w:sz w:val="20"/>
          <w:szCs w:val="20"/>
        </w:rPr>
        <w:t>8.25</w:t>
      </w:r>
      <w:r w:rsidRPr="00E961FE">
        <w:rPr>
          <w:rFonts w:ascii="Verdana" w:hAnsi="Verdana"/>
          <w:bCs/>
          <w:sz w:val="20"/>
          <w:szCs w:val="20"/>
        </w:rPr>
        <w:t xml:space="preserve"> </w:t>
      </w:r>
      <w:r w:rsidRPr="00E961FE">
        <w:rPr>
          <w:rFonts w:ascii="Verdana" w:hAnsi="Verdana"/>
          <w:bCs/>
          <w:i/>
          <w:iCs/>
          <w:sz w:val="20"/>
          <w:szCs w:val="20"/>
        </w:rPr>
        <w:t>AMA PRA Category 1 Credit(s)</w:t>
      </w:r>
      <w:r w:rsidRPr="00E961FE">
        <w:rPr>
          <w:rFonts w:ascii="Verdana" w:hAnsi="Verdana"/>
          <w:bCs/>
          <w:i/>
          <w:iCs/>
          <w:sz w:val="20"/>
          <w:szCs w:val="20"/>
          <w:vertAlign w:val="superscript"/>
        </w:rPr>
        <w:t>TM</w:t>
      </w:r>
      <w:r w:rsidRPr="00E961FE">
        <w:rPr>
          <w:rFonts w:ascii="Verdana" w:hAnsi="Verdana"/>
          <w:bCs/>
          <w:sz w:val="20"/>
          <w:szCs w:val="20"/>
        </w:rPr>
        <w:t xml:space="preserve">.  Physicians should only claim credit commensurate with their participation.  </w: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Pr="00E961FE">
        <w:rPr>
          <w:rFonts w:ascii="Verdana" w:hAnsi="Verdana"/>
          <w:bCs/>
          <w:noProof/>
          <w:sz w:val="20"/>
          <w:szCs w:val="20"/>
        </w:rPr>
        <w:instrText>8.25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"This activity is for </w:instrText>
      </w:r>
      <w:r w:rsidRPr="00E961FE">
        <w:rPr>
          <w:rFonts w:ascii="Verdana" w:hAnsi="Verdana"/>
          <w:bCs/>
          <w:noProof/>
          <w:sz w:val="20"/>
          <w:szCs w:val="20"/>
        </w:rPr>
        <w:instrText>8.25</w:instrText>
      </w:r>
      <w:r w:rsidRPr="00E961FE">
        <w:rPr>
          <w:rFonts w:ascii="Verdana" w:hAnsi="Verdana"/>
          <w:bCs/>
          <w:sz w:val="20"/>
          <w:szCs w:val="20"/>
        </w:rPr>
        <w:instrText xml:space="preserve"> ANCC contact hour(s).  " ""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sz w:val="20"/>
          <w:szCs w:val="20"/>
        </w:rPr>
        <w:t xml:space="preserve">This activity is for </w:t>
      </w:r>
      <w:r w:rsidRPr="00E961FE">
        <w:rPr>
          <w:rFonts w:ascii="Verdana" w:hAnsi="Verdana"/>
          <w:bCs/>
          <w:noProof/>
          <w:sz w:val="20"/>
          <w:szCs w:val="20"/>
        </w:rPr>
        <w:t>8.25</w:t>
      </w:r>
      <w:r w:rsidRPr="00E961FE">
        <w:rPr>
          <w:rFonts w:ascii="Verdana" w:hAnsi="Verdana"/>
          <w:bCs/>
          <w:sz w:val="20"/>
          <w:szCs w:val="20"/>
        </w:rPr>
        <w:t xml:space="preserve"> ANCC contact hour(s).  </w: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Pr="00E961FE">
        <w:rPr>
          <w:rFonts w:ascii="Verdana" w:hAnsi="Verdana"/>
          <w:bCs/>
          <w:noProof/>
          <w:sz w:val="20"/>
          <w:szCs w:val="20"/>
        </w:rPr>
        <w:instrText>8.25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"This activity is approved for </w:instrText>
      </w:r>
      <w:r w:rsidRPr="00E961FE">
        <w:rPr>
          <w:rFonts w:ascii="Verdana" w:hAnsi="Verdana"/>
          <w:bCs/>
          <w:noProof/>
          <w:sz w:val="20"/>
          <w:szCs w:val="20"/>
        </w:rPr>
        <w:instrText>8.25</w:instrText>
      </w:r>
      <w:r w:rsidRPr="00E961FE">
        <w:rPr>
          <w:rFonts w:ascii="Verdana" w:hAnsi="Verdana"/>
          <w:bCs/>
          <w:sz w:val="20"/>
          <w:szCs w:val="20"/>
        </w:rPr>
        <w:instrText xml:space="preserve"> ACPE contact hour(s)." ""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sz w:val="20"/>
          <w:szCs w:val="20"/>
        </w:rPr>
        <w:t xml:space="preserve">This activity is approved for </w:t>
      </w:r>
      <w:r w:rsidRPr="00E961FE">
        <w:rPr>
          <w:rFonts w:ascii="Verdana" w:hAnsi="Verdana"/>
          <w:bCs/>
          <w:noProof/>
          <w:sz w:val="20"/>
          <w:szCs w:val="20"/>
        </w:rPr>
        <w:t>8.25</w:t>
      </w:r>
      <w:r w:rsidRPr="00E961FE">
        <w:rPr>
          <w:rFonts w:ascii="Verdana" w:hAnsi="Verdana"/>
          <w:bCs/>
          <w:sz w:val="20"/>
          <w:szCs w:val="20"/>
        </w:rPr>
        <w:t xml:space="preserve"> ACPE contact hour(s).</w:t>
      </w:r>
      <w:r w:rsidRPr="00E961FE">
        <w:rPr>
          <w:rFonts w:ascii="Verdana" w:hAnsi="Verdana"/>
          <w:bCs/>
          <w:sz w:val="20"/>
          <w:szCs w:val="20"/>
        </w:rPr>
        <w:fldChar w:fldCharType="end"/>
      </w:r>
    </w:p>
    <w:p w:rsidR="00E961FE" w:rsidRPr="00E961FE" w:rsidP="0030050C">
      <w:pPr>
        <w:tabs>
          <w:tab w:val="left" w:pos="1530"/>
          <w:tab w:val="left" w:pos="10058"/>
        </w:tabs>
        <w:ind w:right="-1278"/>
        <w:rPr>
          <w:sz w:val="16"/>
        </w:rPr>
      </w:pPr>
    </w:p>
    <w:p w:rsidR="00E961FE" w:rsidRPr="00E961FE" w:rsidP="00E961FE">
      <w:pPr>
        <w:spacing w:line="276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E961FE">
        <w:rPr>
          <w:rFonts w:ascii="Verdana" w:hAnsi="Verdana"/>
          <w:b/>
          <w:sz w:val="20"/>
          <w:szCs w:val="20"/>
        </w:rPr>
        <w:t>Financial Disclosure: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3"/>
        <w:gridCol w:w="3213"/>
        <w:gridCol w:w="4284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commercial interest/Nature of relationship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Deborah Gartley, M.Ed., Paramedic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- 07/29/2021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Thomas Nowicki,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- 05/13/2021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Jennifer Ferrand, PsyD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- 04/21/2021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Allison Gorseth, PharmD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- 09/23/2021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Laura Hobbs, Pharm.D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- 07/19/2021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Sean Jeffery, PharmD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Consulting Fee-CVS Health - 01/13/2021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Heather Kutzler, PharmD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- 08/03/2021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Anne Lin, PharmD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- 07/13/2021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Christina Polomoff, PharmD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- 02/24/2021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Andrew Salner, MD, FACR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Consulting Fee-Best Doctors Inc - 09/20/2021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Matthew S Thaller, R.Ph., PGY1 Pharmacy Practice Resident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- 04/26/2021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Colleen Teevan, PharmD, BCPS, BCCCP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Faculty, Pharmacy Planner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- 06/09/2021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Jennifer Freund, APRN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Nurse Planner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- 03/10/2021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Katarzyna Szablowski, PharmD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Pharmacy Planner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- 08/24/2021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John McNab, PA-C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- 02/19/2021</w:t>
            </w:r>
          </w:p>
        </w:tc>
      </w:tr>
    </w:tbl>
    <w:p w:rsidR="00E961FE" w:rsidRPr="00E961FE">
      <w:pPr>
        <w:bidi w:val="0"/>
        <w:spacing w:after="280" w:afterAutospacing="1"/>
        <w:rPr>
          <w:rFonts w:ascii="Verdana" w:hAnsi="Verdana"/>
          <w:color w:val="505150"/>
          <w:sz w:val="18"/>
          <w:szCs w:val="20"/>
        </w:rPr>
      </w:pPr>
    </w:p>
    <w:p w:rsidR="005A6F92" w:rsidP="0030050C">
      <w:pPr>
        <w:tabs>
          <w:tab w:val="left" w:pos="1530"/>
          <w:tab w:val="left" w:pos="10058"/>
        </w:tabs>
        <w:ind w:right="-1278"/>
      </w:pPr>
      <w:r>
        <w:rPr>
          <w:rFonts w:ascii="Verdana" w:eastAsia="Times New Roman" w:hAnsi="Verdana"/>
          <w:b/>
          <w:noProof/>
          <w:sz w:val="16"/>
          <w:szCs w:val="1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215900</wp:posOffset>
            </wp:positionH>
            <wp:positionV relativeFrom="page">
              <wp:posOffset>8568267</wp:posOffset>
            </wp:positionV>
            <wp:extent cx="1456055" cy="998855"/>
            <wp:effectExtent l="0" t="0" r="0" b="0"/>
            <wp:wrapNone/>
            <wp:docPr id="6" name="Picture 6" descr="C:\Users\dgartley\AppData\Local\Microsoft\Windows\INetCache\Content.Word\Jointly_Accredited_Provider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gartley\AppData\Local\Microsoft\Windows\INetCache\Content.Word\Jointly_Accredited_Provider_PNG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Sect="0039016A">
      <w:footerReference w:type="default" r:id="rId6"/>
      <w:pgSz w:w="12240" w:h="15840"/>
      <w:pgMar w:top="720" w:right="720" w:bottom="720" w:left="720" w:header="720" w:footer="57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142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-766445</wp:posOffset>
          </wp:positionV>
          <wp:extent cx="1823844" cy="775889"/>
          <wp:effectExtent l="0" t="0" r="508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HC_4C.eps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844" cy="775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36609E6"/>
    <w:multiLevelType w:val="hybridMultilevel"/>
    <w:tmpl w:val="C262B4C0"/>
    <w:lvl w:ilvl="0">
      <w:start w:val="1"/>
      <w:numFmt w:val="decimal"/>
      <w:lvlText w:val="%1."/>
      <w:lvlJc w:val="left"/>
      <w:pPr>
        <w:ind w:left="99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EmbedSmartTags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F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7C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6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9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964"/>
    <w:rPr>
      <w:sz w:val="24"/>
      <w:szCs w:val="24"/>
    </w:rPr>
  </w:style>
  <w:style w:type="character" w:styleId="Hyperlink">
    <w:name w:val="Hyperlink"/>
    <w:uiPriority w:val="99"/>
    <w:unhideWhenUsed/>
    <w:rsid w:val="007D57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704"/>
    <w:pPr>
      <w:ind w:left="720"/>
      <w:contextualSpacing/>
    </w:pPr>
    <w:rPr>
      <w:rFonts w:ascii="Cambria" w:eastAsia="MS Mincho" w:hAnsi="Cambria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323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AAFEFC-1E82-4360-B3CC-E5944168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Gartley, Deborah</cp:lastModifiedBy>
  <cp:revision>5</cp:revision>
  <cp:lastPrinted>2020-08-05T18:15:00Z</cp:lastPrinted>
  <dcterms:created xsi:type="dcterms:W3CDTF">2020-10-23T14:11:00Z</dcterms:created>
  <dcterms:modified xsi:type="dcterms:W3CDTF">2021-02-03T01:57:00Z</dcterms:modified>
</cp:coreProperties>
</file>