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D2A16" w:rsidRPr="009838F7" w:rsidP="0030050C">
      <w:pPr>
        <w:jc w:val="center"/>
        <w:rPr>
          <w:rFonts w:ascii="Verdana" w:hAnsi="Verdana"/>
          <w:b/>
          <w:color w:val="D2492A"/>
          <w:sz w:val="36"/>
        </w:rPr>
      </w:pPr>
      <w:r>
        <w:t xml:space="preserve"> </w:t>
      </w:r>
      <w:r>
        <w:rPr>
          <w:rFonts w:ascii="Verdana" w:hAnsi="Verdana"/>
          <w:b/>
          <w:noProof/>
          <w:color w:val="D2492A"/>
          <w:sz w:val="52"/>
        </w:rPr>
        <w:t>Mary Mulready</w:t>
      </w:r>
      <w:r>
        <w:rPr>
          <w:rFonts w:ascii="Verdana" w:hAnsi="Verdana"/>
          <w:b/>
          <w:color w:val="D2492A"/>
          <w:sz w:val="52"/>
        </w:rPr>
        <w:t xml:space="preserve"> Sullivan Oncology Symposium:  Hepatocellular Carcinoma:  A Multifaceted Comprehensive Approach</w:t>
      </w:r>
    </w:p>
    <w:p w:rsidR="005D2A16" w:rsidRPr="00B93FCE" w:rsidP="0030050C">
      <w:pPr>
        <w:jc w:val="center"/>
        <w:rPr>
          <w:rFonts w:ascii="Verdana" w:hAnsi="Verdana"/>
          <w:color w:val="000000" w:themeColor="text1"/>
          <w:sz w:val="6"/>
          <w:szCs w:val="12"/>
        </w:rPr>
      </w:pPr>
    </w:p>
    <w:p w:rsidR="005D2A16" w:rsidP="0030050C">
      <w:pPr>
        <w:jc w:val="center"/>
        <w:rPr>
          <w:rFonts w:ascii="Lucida Handwriting" w:hAnsi="Lucida Handwriting"/>
          <w:color w:val="000000" w:themeColor="text1"/>
          <w:sz w:val="16"/>
          <w:szCs w:val="12"/>
        </w:rPr>
      </w:pPr>
      <w:r w:rsidRPr="009838F7">
        <w:rPr>
          <w:rFonts w:ascii="Lucida Handwriting" w:hAnsi="Lucida Handwriting"/>
          <w:color w:val="000000" w:themeColor="text1"/>
          <w:sz w:val="16"/>
          <w:szCs w:val="12"/>
        </w:rPr>
        <w:t>presented by</w:t>
      </w:r>
    </w:p>
    <w:p w:rsidR="005D2A16" w:rsidRPr="00B93FCE" w:rsidP="0030050C">
      <w:pPr>
        <w:jc w:val="center"/>
        <w:rPr>
          <w:rFonts w:ascii="Lucida Handwriting" w:hAnsi="Lucida Handwriting"/>
          <w:color w:val="000000" w:themeColor="text1"/>
          <w:sz w:val="6"/>
          <w:szCs w:val="12"/>
        </w:rPr>
      </w:pPr>
    </w:p>
    <w:p w:rsidR="005D2A16" w:rsidRPr="009838F7" w:rsidP="0030050C">
      <w:pPr>
        <w:jc w:val="center"/>
        <w:rPr>
          <w:rFonts w:ascii="Verdana" w:hAnsi="Verdana"/>
          <w:color w:val="000000" w:themeColor="text1"/>
          <w:sz w:val="4"/>
          <w:szCs w:val="12"/>
        </w:rPr>
      </w:pPr>
    </w:p>
    <w:p w:rsidR="00E961FE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b/>
          <w:noProof/>
          <w:color w:val="D2492A"/>
          <w:sz w:val="36"/>
        </w:rPr>
        <w:t>Glyn Morgan</w:t>
      </w:r>
      <w:r>
        <w:rPr>
          <w:rFonts w:ascii="Verdana" w:hAnsi="Verdana"/>
          <w:b/>
          <w:color w:val="D2492A"/>
          <w:sz w:val="36"/>
        </w:rPr>
        <w:t>, MD; Michael Einstein, MD; Ghassan Abou-Alfa, MD, MBA; Sheryl L Hollyday, APRN; Nima Kokabi, MD; Lisa Finoia, APRN; Shimul Shah, MD; Andrew Salner, MD</w:t>
      </w:r>
    </w:p>
    <w:p w:rsidR="005D2A16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begin"/>
      </w:r>
      <w:r>
        <w:rPr>
          <w:rFonts w:ascii="Verdana" w:hAnsi="Verdana"/>
          <w:i/>
          <w:color w:val="D2492A"/>
          <w:sz w:val="36"/>
        </w:rPr>
        <w:instrText xml:space="preserve"> IF </w:instrText>
      </w:r>
      <w:r>
        <w:rPr>
          <w:rFonts w:ascii="Verdana" w:hAnsi="Verdana"/>
          <w:i/>
          <w:noProof/>
          <w:color w:val="D2492A"/>
          <w:sz w:val="36"/>
        </w:rPr>
        <w:instrText>Director</w:instrText>
      </w:r>
      <w:r>
        <w:rPr>
          <w:rFonts w:ascii="Verdana" w:hAnsi="Verdana"/>
          <w:i/>
          <w:color w:val="D2492A"/>
          <w:sz w:val="36"/>
        </w:rPr>
        <w:instrText xml:space="preserve">  = "" "</w:instrText>
      </w:r>
    </w:p>
    <w:p w:rsidR="005D2A16" w:rsidRPr="00C129C8" w:rsidP="0030050C">
      <w:pPr>
        <w:jc w:val="center"/>
        <w:rPr>
          <w:rFonts w:ascii="Verdana" w:hAnsi="Verdana"/>
          <w:i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begin"/>
      </w:r>
      <w:r>
        <w:rPr>
          <w:rFonts w:ascii="Verdana" w:hAnsi="Verdana"/>
          <w:i/>
          <w:color w:val="D2492A"/>
          <w:sz w:val="36"/>
        </w:rPr>
        <w:instrText xml:space="preserve"> MERGEFIELD  ProfessionalTitle  \* MERGEFORMAT </w:instrText>
      </w:r>
      <w:r>
        <w:rPr>
          <w:rFonts w:ascii="Verdana" w:hAnsi="Verdana"/>
          <w:i/>
          <w:color w:val="D2492A"/>
          <w:sz w:val="36"/>
        </w:rPr>
        <w:fldChar w:fldCharType="separate"/>
      </w:r>
      <w:r>
        <w:rPr>
          <w:rFonts w:ascii="Verdana" w:hAnsi="Verdana"/>
          <w:i/>
          <w:noProof/>
          <w:color w:val="D2492A"/>
          <w:sz w:val="36"/>
        </w:rPr>
        <w:instrText>«ProfessionalTitle»</w:instrText>
      </w:r>
      <w:r>
        <w:rPr>
          <w:rFonts w:ascii="Verdana" w:hAnsi="Verdana"/>
          <w:i/>
          <w:color w:val="D2492A"/>
          <w:sz w:val="36"/>
        </w:rPr>
        <w:fldChar w:fldCharType="end"/>
      </w:r>
      <w:r>
        <w:rPr>
          <w:rFonts w:ascii="Verdana" w:hAnsi="Verdana"/>
          <w:i/>
          <w:color w:val="D2492A"/>
          <w:sz w:val="36"/>
        </w:rPr>
        <w:instrText xml:space="preserve">" </w:instrText>
      </w:r>
      <w:r>
        <w:rPr>
          <w:rFonts w:ascii="Verdana" w:hAnsi="Verdana"/>
          <w:i/>
          <w:color w:val="D2492A"/>
          <w:sz w:val="36"/>
        </w:rPr>
        <w:fldChar w:fldCharType="separate"/>
      </w:r>
      <w:r>
        <w:rPr>
          <w:rFonts w:ascii="Verdana" w:hAnsi="Verdana"/>
          <w:i/>
          <w:color w:val="D2492A"/>
          <w:sz w:val="36"/>
        </w:rPr>
        <w:fldChar w:fldCharType="end"/>
      </w:r>
    </w:p>
    <w:p w:rsidR="005D2A16" w:rsidRPr="007D5704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>
        <w:rPr>
          <w:rFonts w:ascii="Verdana" w:hAnsi="Verdana"/>
          <w:b/>
          <w:noProof/>
          <w:sz w:val="32"/>
          <w:szCs w:val="19"/>
        </w:rPr>
        <w:t xml:space="preserve">Wednesday, </w:t>
      </w:r>
      <w:r>
        <w:rPr>
          <w:rFonts w:ascii="Verdana" w:hAnsi="Verdana"/>
          <w:b/>
          <w:sz w:val="32"/>
          <w:szCs w:val="19"/>
        </w:rPr>
        <w:t>May 12, 2021</w:t>
      </w:r>
    </w:p>
    <w:p w:rsidR="00E961FE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 w:rsidR="0030050C">
        <w:rPr>
          <w:rFonts w:ascii="Verdana" w:hAnsi="Verdana"/>
          <w:b/>
          <w:noProof/>
          <w:sz w:val="32"/>
          <w:szCs w:val="19"/>
        </w:rPr>
        <w:t>12:30</w:t>
      </w:r>
      <w:r>
        <w:rPr>
          <w:rFonts w:ascii="Verdana" w:hAnsi="Verdana"/>
          <w:b/>
          <w:sz w:val="32"/>
          <w:szCs w:val="19"/>
        </w:rPr>
        <w:t xml:space="preserve"> PM</w:t>
      </w:r>
    </w:p>
    <w:p w:rsidR="005D2A16" w:rsidRPr="00E961FE" w:rsidP="0030050C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t>ZOOM</w:t>
      </w:r>
      <w:bookmarkStart w:id="0" w:name="_GoBack"/>
      <w:bookmarkEnd w:id="0"/>
      <w:r w:rsidRPr="00E961FE">
        <w:rPr>
          <w:rFonts w:ascii="Verdana" w:hAnsi="Verdana"/>
          <w:b/>
          <w:sz w:val="32"/>
          <w:szCs w:val="32"/>
        </w:rPr>
        <w:fldChar w:fldCharType="begin"/>
      </w:r>
      <w:r w:rsidRPr="00E961FE">
        <w:rPr>
          <w:rFonts w:ascii="Verdana" w:hAnsi="Verdana"/>
          <w:b/>
          <w:sz w:val="32"/>
          <w:szCs w:val="32"/>
        </w:rPr>
        <w:instrText xml:space="preserve"> IF </w:instrText>
      </w:r>
      <w:r w:rsidRPr="00E961FE">
        <w:rPr>
          <w:rFonts w:ascii="Verdana" w:hAnsi="Verdana"/>
          <w:b/>
          <w:noProof/>
          <w:sz w:val="32"/>
          <w:szCs w:val="32"/>
        </w:rPr>
        <w:instrText>ZOOM</w:instrText>
      </w:r>
      <w:r w:rsidRPr="00E961FE">
        <w:rPr>
          <w:rFonts w:ascii="Verdana" w:hAnsi="Verdana"/>
          <w:b/>
          <w:sz w:val="32"/>
          <w:szCs w:val="32"/>
        </w:rPr>
        <w:instrText xml:space="preserve"> = "" "" "</w:instrText>
      </w:r>
    </w:p>
    <w:p w:rsidR="005D2A16" w:rsidRPr="00E961FE" w:rsidP="0030050C">
      <w:pPr>
        <w:spacing w:line="276" w:lineRule="auto"/>
        <w:jc w:val="center"/>
        <w:rPr>
          <w:rFonts w:ascii="Verdana" w:hAnsi="Verdana"/>
          <w:b/>
          <w:sz w:val="36"/>
          <w:szCs w:val="19"/>
        </w:rPr>
      </w:pPr>
      <w:r w:rsidRPr="00E961FE">
        <w:rPr>
          <w:rFonts w:ascii="Verdana" w:hAnsi="Verdana"/>
          <w:b/>
          <w:noProof/>
          <w:sz w:val="32"/>
          <w:szCs w:val="32"/>
        </w:rPr>
        <w:instrText>ZOOM</w:instrText>
      </w:r>
      <w:r w:rsidRPr="00E961FE">
        <w:rPr>
          <w:rFonts w:ascii="Verdana" w:hAnsi="Verdana"/>
          <w:b/>
          <w:sz w:val="32"/>
          <w:szCs w:val="32"/>
        </w:rPr>
        <w:instrText xml:space="preserve">" </w:instrText>
      </w:r>
      <w:r w:rsidRPr="00E961FE">
        <w:rPr>
          <w:rFonts w:ascii="Verdana" w:hAnsi="Verdana"/>
          <w:b/>
          <w:sz w:val="32"/>
          <w:szCs w:val="32"/>
        </w:rPr>
        <w:fldChar w:fldCharType="separate"/>
      </w:r>
    </w:p>
    <w:p w:rsidRPr="00E961FE" w:rsidP="0030050C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 w:rsidRPr="00E961FE">
        <w:rPr>
          <w:rFonts w:ascii="Verdana" w:hAnsi="Verdana"/>
          <w:b/>
          <w:noProof/>
          <w:sz w:val="32"/>
          <w:szCs w:val="32"/>
        </w:rPr>
        <w:t>ZOOM</w:t>
      </w:r>
      <w:r w:rsidRPr="00E961FE">
        <w:rPr>
          <w:rFonts w:ascii="Verdana" w:hAnsi="Verdana"/>
          <w:b/>
          <w:sz w:val="32"/>
          <w:szCs w:val="32"/>
        </w:rPr>
        <w:fldChar w:fldCharType="end"/>
      </w:r>
    </w:p>
    <w:p w:rsidR="005D2A16" w:rsidRPr="009838F7" w:rsidP="0030050C">
      <w:pPr>
        <w:spacing w:line="276" w:lineRule="auto"/>
        <w:rPr>
          <w:rFonts w:ascii="Verdana" w:hAnsi="Verdana"/>
          <w:sz w:val="20"/>
          <w:szCs w:val="22"/>
          <w:vertAlign w:val="superscript"/>
        </w:rPr>
      </w:pPr>
    </w:p>
    <w:p w:rsidR="005D2A16" w:rsidP="0030050C">
      <w:pPr>
        <w:rPr>
          <w:rFonts w:ascii="Verdana" w:hAnsi="Verdana"/>
          <w:i/>
          <w:iCs/>
          <w:color w:val="0098C3"/>
        </w:rPr>
      </w:pPr>
    </w:p>
    <w:p w:rsidR="005D2A16" w:rsidP="0030050C">
      <w:pPr>
        <w:rPr>
          <w:rFonts w:ascii="Verdana" w:hAnsi="Verdana"/>
          <w:i/>
          <w:szCs w:val="26"/>
        </w:rPr>
      </w:pPr>
      <w:r w:rsidRPr="009838F7">
        <w:rPr>
          <w:rFonts w:ascii="Verdana" w:hAnsi="Verdana"/>
          <w:b/>
          <w:szCs w:val="26"/>
        </w:rPr>
        <w:t>Learning Objectives:</w:t>
      </w:r>
      <w:r w:rsidRPr="009838F7">
        <w:rPr>
          <w:rFonts w:ascii="Verdana" w:hAnsi="Verdana"/>
          <w:szCs w:val="26"/>
        </w:rPr>
        <w:t xml:space="preserve">  </w:t>
      </w:r>
      <w:r w:rsidRPr="009838F7">
        <w:rPr>
          <w:rFonts w:ascii="Verdana" w:hAnsi="Verdana"/>
          <w:i/>
          <w:szCs w:val="26"/>
        </w:rPr>
        <w:t xml:space="preserve">As a result of participating in this </w:t>
      </w:r>
      <w:r>
        <w:rPr>
          <w:rFonts w:ascii="Verdana" w:hAnsi="Verdana"/>
          <w:i/>
          <w:noProof/>
          <w:szCs w:val="26"/>
        </w:rPr>
        <w:t>Live Activity</w:t>
      </w:r>
      <w:r w:rsidRPr="009838F7">
        <w:rPr>
          <w:rFonts w:ascii="Verdana" w:hAnsi="Verdana"/>
          <w:i/>
          <w:szCs w:val="26"/>
        </w:rPr>
        <w:t>, participants should be able to:</w:t>
      </w:r>
    </w:p>
    <w:p w:rsidR="005D2A16" w:rsidRPr="00052A6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noProof/>
          <w:szCs w:val="26"/>
        </w:rPr>
        <w:t>1 define</w:t>
      </w:r>
      <w:r>
        <w:rPr>
          <w:rFonts w:ascii="Verdana" w:hAnsi="Verdana"/>
          <w:i/>
          <w:szCs w:val="26"/>
        </w:rPr>
        <w:t xml:space="preserve"> the demographic trends of Hepatocellular Carcinoma (HCC)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2 discuss the evidence based interventions for treatment of HCC based on disease extent.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3 articulate the surgical and medical oncology best practice interventions for hHCC</w:t>
      </w:r>
    </w:p>
    <w:p w:rsidR="005D2A16" w:rsidRPr="00052A6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4 describe the local and systemic treatments and supportive care interventions for the patient with HCC that contribute to increased quality and quantity of life.</w:t>
      </w:r>
    </w:p>
    <w:p w:rsidR="005D2A16" w:rsidRPr="00C93D3E" w:rsidP="0030050C">
      <w:pPr>
        <w:jc w:val="center"/>
        <w:rPr>
          <w:rFonts w:ascii="Verdana" w:hAnsi="Verdana"/>
          <w:color w:val="D2492A"/>
          <w:sz w:val="28"/>
        </w:rPr>
      </w:pPr>
    </w:p>
    <w:p w:rsidR="005D2A16" w:rsidRPr="00E961FE" w:rsidP="0030050C">
      <w:pPr>
        <w:ind w:right="-45"/>
        <w:rPr>
          <w:sz w:val="20"/>
          <w:szCs w:val="20"/>
        </w:rPr>
      </w:pPr>
    </w:p>
    <w:p w:rsidR="005D2A16" w:rsidRPr="00E961FE" w:rsidP="0030050C">
      <w:pPr>
        <w:ind w:right="-45"/>
        <w:rPr>
          <w:rFonts w:ascii="Verdana" w:eastAsia="Times New Roman" w:hAnsi="Verdana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Accreditation Statement:  </w:t>
      </w:r>
      <w:r w:rsidRPr="00E961FE">
        <w:rPr>
          <w:rFonts w:ascii="Verdana" w:eastAsia="Times New Roman" w:hAnsi="Verdana"/>
          <w:sz w:val="20"/>
          <w:szCs w:val="20"/>
        </w:rPr>
        <w:t>In support of improving patient care, Hartford HealthCare is jointly accredited by the Accreditation Council for Continuing Medical Education (ACCME), the Accreditation Council for Pharmacy Education (ACPE), and the American Nur</w:t>
      </w:r>
      <w:r w:rsidR="009A3E9A">
        <w:rPr>
          <w:rFonts w:ascii="Verdana" w:eastAsia="Times New Roman" w:hAnsi="Verdana"/>
          <w:sz w:val="20"/>
          <w:szCs w:val="20"/>
        </w:rPr>
        <w:t>ses Credentialing Center (ANCC)</w:t>
      </w:r>
      <w:r w:rsidRPr="00E961FE">
        <w:rPr>
          <w:rFonts w:ascii="Verdana" w:eastAsia="Times New Roman" w:hAnsi="Verdana"/>
          <w:sz w:val="20"/>
          <w:szCs w:val="20"/>
        </w:rPr>
        <w:t xml:space="preserve"> to provide continuing education for the healthcare team.</w:t>
      </w:r>
    </w:p>
    <w:p w:rsidR="005D2A16" w:rsidRPr="00E961FE" w:rsidP="0030050C">
      <w:pPr>
        <w:ind w:right="-45"/>
        <w:rPr>
          <w:rFonts w:ascii="Verdana" w:eastAsia="Times New Roman" w:hAnsi="Verdana"/>
          <w:sz w:val="16"/>
          <w:szCs w:val="20"/>
        </w:rPr>
      </w:pPr>
    </w:p>
    <w:p w:rsidR="005D2A16" w:rsidRPr="00E961FE" w:rsidP="0030050C">
      <w:pPr>
        <w:ind w:right="-45"/>
        <w:rPr>
          <w:rFonts w:ascii="Verdana" w:hAnsi="Verdana"/>
          <w:bCs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Credit Designation Statement:  </w: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was planned by and for the healthcare team, and learners will receive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IPCEHoursMax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«IPCEHoursMax»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Interprofessional Continuing Education(IPCE) credit for learning and change.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4.00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"Hartford Healtcare designates this </w:instrText>
      </w:r>
      <w:r w:rsidRPr="00E961FE">
        <w:rPr>
          <w:rFonts w:ascii="Verdana" w:hAnsi="Verdana"/>
          <w:bCs/>
          <w:noProof/>
          <w:sz w:val="20"/>
          <w:szCs w:val="20"/>
        </w:rPr>
        <w:instrText>Live Activity</w:instrText>
      </w:r>
      <w:r w:rsidRPr="00E961FE">
        <w:rPr>
          <w:rFonts w:ascii="Verdana" w:hAnsi="Verdana"/>
          <w:bCs/>
          <w:sz w:val="20"/>
          <w:szCs w:val="20"/>
        </w:rPr>
        <w:instrText xml:space="preserve">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4.00</w:instrText>
      </w:r>
      <w:r w:rsidRPr="00E961FE">
        <w:rPr>
          <w:rFonts w:ascii="Verdana" w:hAnsi="Verdana"/>
          <w:bCs/>
          <w:sz w:val="20"/>
          <w:szCs w:val="20"/>
        </w:rPr>
        <w:instrText xml:space="preserve"> </w:instrText>
      </w:r>
      <w:r w:rsidRPr="00E961FE">
        <w:rPr>
          <w:rFonts w:ascii="Verdana" w:hAnsi="Verdana"/>
          <w:bCs/>
          <w:i/>
          <w:iCs/>
          <w:sz w:val="20"/>
          <w:szCs w:val="20"/>
        </w:rPr>
        <w:instrText>AMA PRA Category 1 Credit(s)</w:instrTex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instrText>TM</w:instrText>
      </w:r>
      <w:r w:rsidRPr="00E961FE">
        <w:rPr>
          <w:rFonts w:ascii="Verdana" w:hAnsi="Verdana"/>
          <w:bCs/>
          <w:sz w:val="20"/>
          <w:szCs w:val="20"/>
        </w:rPr>
        <w:instrText xml:space="preserve">.  Physicians should only claim credit commensurate with their participation.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 xml:space="preserve">Hartford Healtcare designates this </w:t>
      </w:r>
      <w:r w:rsidRPr="00E961FE">
        <w:rPr>
          <w:rFonts w:ascii="Verdana" w:hAnsi="Verdana"/>
          <w:bCs/>
          <w:noProof/>
          <w:sz w:val="20"/>
          <w:szCs w:val="20"/>
        </w:rPr>
        <w:t>Live Activity</w:t>
      </w:r>
      <w:r w:rsidRPr="00E961FE">
        <w:rPr>
          <w:rFonts w:ascii="Verdana" w:hAnsi="Verdana"/>
          <w:bCs/>
          <w:sz w:val="20"/>
          <w:szCs w:val="20"/>
        </w:rPr>
        <w:t xml:space="preserve"> for </w:t>
      </w:r>
      <w:r w:rsidRPr="00E961FE">
        <w:rPr>
          <w:rFonts w:ascii="Verdana" w:hAnsi="Verdana"/>
          <w:bCs/>
          <w:noProof/>
          <w:sz w:val="20"/>
          <w:szCs w:val="20"/>
        </w:rPr>
        <w:t>4.00</w:t>
      </w:r>
      <w:r w:rsidRPr="00E961FE">
        <w:rPr>
          <w:rFonts w:ascii="Verdana" w:hAnsi="Verdana"/>
          <w:bCs/>
          <w:sz w:val="20"/>
          <w:szCs w:val="20"/>
        </w:rPr>
        <w:t xml:space="preserve"> </w:t>
      </w:r>
      <w:r w:rsidRPr="00E961FE">
        <w:rPr>
          <w:rFonts w:ascii="Verdana" w:hAnsi="Verdana"/>
          <w:bCs/>
          <w:i/>
          <w:iCs/>
          <w:sz w:val="20"/>
          <w:szCs w:val="20"/>
        </w:rPr>
        <w:t>AMA PRA Category 1 Credit(s)</w: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t>TM</w:t>
      </w:r>
      <w:r w:rsidRPr="00E961FE">
        <w:rPr>
          <w:rFonts w:ascii="Verdana" w:hAnsi="Verdana"/>
          <w:bCs/>
          <w:sz w:val="20"/>
          <w:szCs w:val="20"/>
        </w:rPr>
        <w:t xml:space="preserve">.  Physicians should only claim credit commensurate with their participation.  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4.00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4.00</w:instrText>
      </w:r>
      <w:r w:rsidRPr="00E961FE">
        <w:rPr>
          <w:rFonts w:ascii="Verdana" w:hAnsi="Verdana"/>
          <w:bCs/>
          <w:sz w:val="20"/>
          <w:szCs w:val="20"/>
        </w:rPr>
        <w:instrText xml:space="preserve"> ANCC contact hour(s).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 xml:space="preserve">This activity is for </w:t>
      </w:r>
      <w:r w:rsidRPr="00E961FE">
        <w:rPr>
          <w:rFonts w:ascii="Verdana" w:hAnsi="Verdana"/>
          <w:bCs/>
          <w:noProof/>
          <w:sz w:val="20"/>
          <w:szCs w:val="20"/>
        </w:rPr>
        <w:t>4.00</w:t>
      </w:r>
      <w:r w:rsidRPr="00E961FE">
        <w:rPr>
          <w:rFonts w:ascii="Verdana" w:hAnsi="Verdana"/>
          <w:bCs/>
          <w:sz w:val="20"/>
          <w:szCs w:val="20"/>
        </w:rPr>
        <w:t xml:space="preserve"> ANCC contact hour(s).  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Pr="00E961FE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 approved for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ACPEHoursMax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«ACPEHoursMax»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ACPE contact hour(s)."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fldChar w:fldCharType="end"/>
      </w:r>
    </w:p>
    <w:p w:rsidR="00E961FE" w:rsidRPr="00E961FE" w:rsidP="0030050C">
      <w:pPr>
        <w:tabs>
          <w:tab w:val="left" w:pos="1530"/>
          <w:tab w:val="left" w:pos="10058"/>
        </w:tabs>
        <w:ind w:right="-1278"/>
        <w:rPr>
          <w:sz w:val="16"/>
        </w:rPr>
      </w:pPr>
    </w:p>
    <w:p w:rsidR="00E961FE" w:rsidRPr="00E961FE" w:rsidP="00E961FE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>Financial Disclosure: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3"/>
        <w:gridCol w:w="3213"/>
        <w:gridCol w:w="4284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Andrew Salner,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Fee-Best Doctors Inc - 02/03/2021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Mary Eanniello, 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Robin Jascowski, None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- 02/03/2021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Ghassan Abou-Alfa, MD MBA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Fee-AstraZeneca|Consulting Fee-Boehringer Ingelheim Vetmedica GmbH|Consulting Fee-Bristol-Myers Squibb|Consulting Fee-Eisai, Inc.|Consulting Fee-Eli Lilly and Company|Consulting Fee-F. Hoffmann La Roche Ltd.|Consulting Fee-Genentech, Inc.|Consulting Fee-Gilead|Consulting Fee-Merck and Company, Inc.|Consulting Fee-Roche - 02/09/2021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Michael Einstein,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- 02/25/2021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Lisa Finoia, APRN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- 02/18/2021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Sheryl L Hollyday, APRN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Nima Kokabi,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Fee-Sirtex Medical Ltd - 02/19/2021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Glyn Morgan,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- 03/23/2021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Shimul Shah,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Consulting Fee-Veloxis - 02/18/2021</w:t>
            </w:r>
          </w:p>
        </w:tc>
      </w:tr>
    </w:tbl>
    <w:p w:rsidR="00E961FE" w:rsidRPr="00E961FE">
      <w:pPr>
        <w:bidi w:val="0"/>
        <w:spacing w:after="280" w:afterAutospacing="1"/>
        <w:rPr>
          <w:rFonts w:ascii="Verdana" w:hAnsi="Verdana"/>
          <w:color w:val="505150"/>
          <w:sz w:val="18"/>
          <w:szCs w:val="20"/>
        </w:rPr>
      </w:pPr>
    </w:p>
    <w:p w:rsidR="005A6F92" w:rsidP="0030050C">
      <w:pPr>
        <w:tabs>
          <w:tab w:val="left" w:pos="1530"/>
          <w:tab w:val="left" w:pos="10058"/>
        </w:tabs>
        <w:ind w:right="-1278"/>
      </w:pPr>
      <w:r>
        <w:rPr>
          <w:rFonts w:ascii="Verdana" w:eastAsia="Times New Roman" w:hAnsi="Verdana"/>
          <w:b/>
          <w:noProof/>
          <w:sz w:val="16"/>
          <w:szCs w:val="1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ge">
              <wp:posOffset>8568267</wp:posOffset>
            </wp:positionV>
            <wp:extent cx="1456055" cy="998855"/>
            <wp:effectExtent l="0" t="0" r="0" b="0"/>
            <wp:wrapNone/>
            <wp:docPr id="6" name="Picture 6" descr="C:\Users\dgartley\AppData\Local\Microsoft\Windows\INetCache\Content.Word\Jointly_Accredited_Provide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gartley\AppData\Local\Microsoft\Windows\INetCache\Content.Word\Jointly_Accredited_Provider_PNG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Sect="0039016A">
      <w:footerReference w:type="default" r:id="rId6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142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-766445</wp:posOffset>
          </wp:positionV>
          <wp:extent cx="1823844" cy="775889"/>
          <wp:effectExtent l="0" t="0" r="508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C_4C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44" cy="775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6609E6"/>
    <w:multiLevelType w:val="hybridMultilevel"/>
    <w:tmpl w:val="C262B4C0"/>
    <w:lvl w:ilvl="0">
      <w:start w:val="1"/>
      <w:numFmt w:val="decimal"/>
      <w:lvlText w:val="%1."/>
      <w:lvlJc w:val="left"/>
      <w:pPr>
        <w:ind w:left="99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EmbedSmartTags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64"/>
    <w:rPr>
      <w:sz w:val="24"/>
      <w:szCs w:val="24"/>
    </w:rPr>
  </w:style>
  <w:style w:type="character" w:styleId="Hyperlink">
    <w:name w:val="Hyperlink"/>
    <w:uiPriority w:val="99"/>
    <w:unhideWhenUsed/>
    <w:rsid w:val="007D5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04"/>
    <w:pPr>
      <w:ind w:left="720"/>
      <w:contextualSpacing/>
    </w:pPr>
    <w:rPr>
      <w:rFonts w:ascii="Cambria" w:eastAsia="MS Mincho" w:hAnsi="Cambria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32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AFEFC-1E82-4360-B3CC-E5944168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Gartley, Deborah</cp:lastModifiedBy>
  <cp:revision>5</cp:revision>
  <cp:lastPrinted>2020-08-05T18:15:00Z</cp:lastPrinted>
  <dcterms:created xsi:type="dcterms:W3CDTF">2020-10-23T14:11:00Z</dcterms:created>
  <dcterms:modified xsi:type="dcterms:W3CDTF">2021-02-03T01:57:00Z</dcterms:modified>
</cp:coreProperties>
</file>